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Supplier Security Assessment Questionnaire</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shows a supplier security assessment for a SaaS (Software as a Service) provider used by support operations. It demonstrates evidence-based answers, conditional approval and follow-up actions for access-review and continuity evidence. This form is the operating template used with Arcfield Platform freeze records in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Supplier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ISMS Manager</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604"/>
        <w:gridCol w:w="1468"/>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604"/>
            <w:shd w:fill="F7F9FC"/>
          </w:tcPr>
          <w:p>
            <w:r/>
            <w:r>
              <w:rPr>
                <w:b/>
                <w:color w:val="1F6FEB"/>
                <w:sz w:val="18"/>
              </w:rPr>
              <w:t>Change</w:t>
            </w:r>
          </w:p>
        </w:tc>
        <w:tc>
          <w:tcPr>
            <w:tcW w:type="dxa" w:w="1468"/>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604"/>
          </w:tcPr>
          <w:p>
            <w:r/>
            <w:r>
              <w:rPr>
                <w:b w:val="0"/>
                <w:color w:val="1F2328"/>
                <w:sz w:val="18"/>
              </w:rPr>
              <w:t>Initial Arcfield Platform publication.</w:t>
            </w:r>
          </w:p>
        </w:tc>
        <w:tc>
          <w:tcPr>
            <w:tcW w:type="dxa" w:w="1468"/>
          </w:tcPr>
          <w:p>
            <w:r/>
            <w:r>
              <w:rPr>
                <w:b w:val="0"/>
                <w:color w:val="1F2328"/>
                <w:sz w:val="18"/>
              </w:rPr>
              <w:t>ISMS Manager</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604"/>
          </w:tcPr>
          <w:p>
            <w:r/>
            <w:r>
              <w:rPr>
                <w:b w:val="0"/>
                <w:color w:val="1F2328"/>
                <w:sz w:val="18"/>
              </w:rPr>
              <w:t>Approved Arcfield worked example after the 11 September 2026 internal audit.</w:t>
            </w:r>
          </w:p>
        </w:tc>
        <w:tc>
          <w:tcPr>
            <w:tcW w:type="dxa" w:w="1468"/>
          </w:tcPr>
          <w:p>
            <w:r/>
            <w:r>
              <w:rPr>
                <w:b w:val="0"/>
                <w:color w:val="1F2328"/>
                <w:sz w:val="18"/>
              </w:rPr>
              <w:t>ISMS Manager</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Form responses</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form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Governance</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Certification</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Access Control</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Data Protection</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Incident Management</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Continuity</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Subprocessors</w:t>
            </w:r>
            <w:r>
              <w:tab/>
            </w:r>
            <w:r>
              <w:fldChar w:fldCharType="begin"/>
              <w:instrText xml:space="preserve"> PAGEREF _TocRAM011 \h </w:instrText>
              <w:fldChar w:fldCharType="separate"/>
              <w:t xml:space="preserve"> </w:t>
              <w:fldChar w:fldCharType="end"/>
            </w:r>
          </w:hyperlink>
        </w:p>
        <w:p>
          <w:pPr>
            <w:pStyle w:val="957"/>
            <w:tabs>
              <w:tab w:val="right" w:leader="dot" w:pos="10080"/>
            </w:tabs>
          </w:pPr>
          <w:hyperlink w:anchor="_TocRAM012" w:history="1">
            <w:r>
              <w:rPr>
                <w:rStyle w:val="955"/>
              </w:rPr>
              <w:t xml:space="preserve">Evidence and attachments</w:t>
            </w:r>
            <w:r>
              <w:tab/>
            </w:r>
            <w:r>
              <w:fldChar w:fldCharType="begin"/>
              <w:instrText xml:space="preserve"> PAGEREF _TocRAM012 \h </w:instrText>
              <w:fldChar w:fldCharType="separate"/>
              <w:t xml:space="preserve"> </w:t>
              <w:fldChar w:fldCharType="end"/>
            </w:r>
          </w:hyperlink>
        </w:p>
        <w:p>
          <w:pPr>
            <w:pStyle w:val="957"/>
            <w:tabs>
              <w:tab w:val="right" w:leader="dot" w:pos="10080"/>
            </w:tabs>
          </w:pPr>
          <w:hyperlink w:anchor="_TocRAM013" w:history="1">
            <w:r>
              <w:rPr>
                <w:rStyle w:val="955"/>
              </w:rPr>
              <w:t xml:space="preserve">Review and decision</w:t>
            </w:r>
            <w:r>
              <w:tab/>
            </w:r>
            <w:r>
              <w:fldChar w:fldCharType="begin"/>
              <w:instrText xml:space="preserve"> PAGEREF _TocRAM013 \h </w:instrText>
              <w:fldChar w:fldCharType="separate"/>
              <w:t xml:space="preserve"> </w:t>
              <w:fldChar w:fldCharType="end"/>
            </w:r>
          </w:hyperlink>
        </w:p>
        <w:p>
          <w:pPr>
            <w:pStyle w:val="957"/>
            <w:tabs>
              <w:tab w:val="right" w:leader="dot" w:pos="10080"/>
            </w:tabs>
          </w:pPr>
          <w:hyperlink w:anchor="_TocRAM014" w:history="1">
            <w:r>
              <w:rPr>
                <w:rStyle w:val="955"/>
              </w:rPr>
              <w:t xml:space="preserve">References</w:t>
            </w:r>
            <w:r>
              <w:tab/>
            </w:r>
            <w:r>
              <w:fldChar w:fldCharType="begin"/>
              <w:instrText xml:space="preserve"> PAGEREF _TocRAM014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Keep questionnaire answers evidence-based: Yes without evidence should still trigger follow-up.</w:t>
              <w:br/>
              <w:br/>
              <w:t>Book reference: Building the ISMS, HR Security: Screening, Onboarding &amp; Offboarding</w:t>
            </w:r>
          </w:p>
        </w:tc>
      </w:tr>
    </w:tbl>
    <w:p>
      <w:r>
        <w:br w:type="page"/>
      </w:r>
    </w:p>
    <w:p>
      <w:pPr>
        <w:pStyle w:val="973"/>
        <w:outlineLvl w:val="0"/>
      </w:pPr>
      <w:bookmarkStart w:id="6" w:name="_TocRAM001"/>
      <w:bookmarkStart w:id="2" w:name="ref_form_responses"/>
      <w:r>
        <w:t>Form responses</w:t>
      </w:r>
      <w:bookmarkEnd w:id="2"/>
      <w:bookmarkEnd w:id="6"/>
    </w:p>
    <w:p>
      <w:pPr>
        <w:pStyle w:val="974"/>
        <w:outlineLvl w:val="1"/>
      </w:pPr>
      <w:bookmarkStart w:id="7" w:name="_TocRAM002"/>
      <w:r>
        <w:t>What this form is</w:t>
      </w:r>
      <w:bookmarkEnd w:id="7"/>
    </w:p>
    <w:p>
      <w:r>
        <w:rPr>
          <w:b w:val="0"/>
        </w:rPr>
        <w:t>This document is Arcfield's Supplier Security Assessment Questionnaire. Assess supplier security posture before onboarding and during periodic review. It is not a methodology essay or the governing policy. This form applies to the Arcfield Platform (B2B SaaS for regulated fintech and health customers): production, customer data, CI/CD (Continuous Integration / Continuous Delivery), privileged access and critical suppliers. Neighbouring records (ISO (International Organization for Standardization), SINV, BCP (Business Continuity Plan)) cite this Document Control version. Do not copy these paragraphs into them.</w:t>
      </w:r>
    </w:p>
    <w:p>
      <w:pPr>
        <w:pStyle w:val="974"/>
        <w:outlineLvl w:val="1"/>
      </w:pPr>
      <w:bookmarkStart w:id="8" w:name="_TocRAM003"/>
      <w:r>
        <w:t>Scope</w:t>
      </w:r>
      <w:bookmarkEnd w:id="8"/>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file</w:t>
            </w:r>
          </w:p>
        </w:tc>
        <w:tc>
          <w:tcPr>
            <w:tcW w:type="dxa" w:w="7056"/>
            <w:shd w:fill="F7F9FC"/>
          </w:tcPr>
          <w:p>
            <w:r/>
            <w:r>
              <w:rPr>
                <w:b/>
                <w:color w:val="1F6FEB"/>
                <w:sz w:val="18"/>
              </w:rPr>
              <w:t>Not in this file</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ISO, SINV, BCP.</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9" w:name="_TocRAM004"/>
      <w:r>
        <w:t>Terms used here</w:t>
      </w:r>
      <w:bookmarkEnd w:id="9"/>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Check ID</w:t>
            </w:r>
          </w:p>
        </w:tc>
        <w:tc>
          <w:tcPr>
            <w:tcW w:type="dxa" w:w="7240"/>
          </w:tcPr>
          <w:p>
            <w:r/>
            <w:r>
              <w:rPr>
                <w:b w:val="0"/>
                <w:color w:val="1F2328"/>
                <w:sz w:val="18"/>
              </w:rPr>
              <w:t>The stable identifier for one check or question. Do not reuse an ID for a different question.</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spacing w:before="40" w:after="0"/>
      </w:pPr>
      <w:r>
        <w:rPr>
          <w:color w:val="5B5B5B"/>
          <w:sz w:val="18"/>
        </w:rPr>
        <w:t>Assessment ID</w:t>
      </w:r>
    </w:p>
    <w:p>
      <w:pPr>
        <w:spacing w:before="0" w:after="200"/>
        <w:shd w:val="clear" w:fill="F4F6F8"/>
        <w:pBdr>
          <w:bottom w:val="single" w:sz="8" w:space="1" w:color="8A8A8A"/>
        </w:pBdr>
      </w:pPr>
      <w:r>
        <w:rPr>
          <w:b w:val="0"/>
          <w:color w:val="222222"/>
        </w:rPr>
        <w:t>SSAQ-2026-CLOUDDESK-001</w:t>
      </w:r>
    </w:p>
    <w:p>
      <w:pPr>
        <w:spacing w:before="40" w:after="0"/>
      </w:pPr>
      <w:r>
        <w:rPr>
          <w:color w:val="5B5B5B"/>
          <w:sz w:val="18"/>
        </w:rPr>
        <w:t>Supplier Legal Name</w:t>
      </w:r>
    </w:p>
    <w:p>
      <w:pPr>
        <w:spacing w:before="0" w:after="200"/>
        <w:shd w:val="clear" w:fill="F4F6F8"/>
        <w:pBdr>
          <w:bottom w:val="single" w:sz="8" w:space="1" w:color="8A8A8A"/>
        </w:pBdr>
      </w:pPr>
      <w:r>
        <w:rPr>
          <w:b w:val="0"/>
          <w:color w:val="222222"/>
        </w:rPr>
        <w:t>CloudDesk Services Ltd.</w:t>
      </w:r>
    </w:p>
    <w:p>
      <w:pPr>
        <w:spacing w:before="40" w:after="0"/>
      </w:pPr>
      <w:r>
        <w:rPr>
          <w:color w:val="5B5B5B"/>
          <w:sz w:val="18"/>
        </w:rPr>
        <w:t>Supplier Type</w:t>
      </w:r>
    </w:p>
    <w:p>
      <w:pPr>
        <w:spacing w:before="0" w:after="200"/>
        <w:shd w:val="clear" w:fill="F4F6F8"/>
        <w:pBdr>
          <w:bottom w:val="single" w:sz="8" w:space="1" w:color="8A8A8A"/>
        </w:pBdr>
      </w:pPr>
      <w:r>
        <w:rPr>
          <w:b w:val="0"/>
          <w:color w:val="222222"/>
        </w:rPr>
        <w:t>SaaS provider</w:t>
      </w:r>
    </w:p>
    <w:p>
      <w:pPr>
        <w:spacing w:before="40" w:after="0"/>
      </w:pPr>
      <w:r>
        <w:rPr>
          <w:color w:val="5B5B5B"/>
          <w:sz w:val="18"/>
        </w:rPr>
        <w:t>Service Provided</w:t>
      </w:r>
    </w:p>
    <w:p>
      <w:pPr>
        <w:spacing w:before="0" w:after="200"/>
        <w:shd w:val="clear" w:fill="F4F6F8"/>
        <w:pBdr>
          <w:bottom w:val="single" w:sz="8" w:space="1" w:color="8A8A8A"/>
        </w:pBdr>
      </w:pPr>
      <w:r>
        <w:rPr>
          <w:b w:val="0"/>
          <w:color w:val="222222"/>
        </w:rPr>
        <w:t>Customer support ticketing platform</w:t>
      </w:r>
    </w:p>
    <w:p>
      <w:pPr>
        <w:spacing w:before="40" w:after="0"/>
      </w:pPr>
      <w:r>
        <w:rPr>
          <w:color w:val="5B5B5B"/>
          <w:sz w:val="18"/>
        </w:rPr>
        <w:t>Service Owner</w:t>
      </w:r>
    </w:p>
    <w:p>
      <w:pPr>
        <w:spacing w:before="0" w:after="200"/>
        <w:shd w:val="clear" w:fill="F4F6F8"/>
        <w:pBdr>
          <w:bottom w:val="single" w:sz="8" w:space="1" w:color="8A8A8A"/>
        </w:pBdr>
      </w:pPr>
      <w:r>
        <w:rPr>
          <w:b w:val="0"/>
          <w:color w:val="222222"/>
        </w:rPr>
        <w:t>Support Operations Manager</w:t>
      </w:r>
    </w:p>
    <w:p>
      <w:pPr>
        <w:spacing w:before="40" w:after="0"/>
      </w:pPr>
      <w:r>
        <w:rPr>
          <w:color w:val="5B5B5B"/>
          <w:sz w:val="18"/>
        </w:rPr>
        <w:t>Supplier Criticality</w:t>
      </w:r>
    </w:p>
    <w:p>
      <w:pPr>
        <w:spacing w:before="0" w:after="200"/>
        <w:shd w:val="clear" w:fill="F4F6F8"/>
        <w:pBdr>
          <w:bottom w:val="single" w:sz="8" w:space="1" w:color="8A8A8A"/>
        </w:pBdr>
      </w:pPr>
      <w:r>
        <w:rPr>
          <w:b w:val="0"/>
          <w:color w:val="222222"/>
        </w:rPr>
        <w:t>Important</w:t>
      </w:r>
    </w:p>
    <w:p>
      <w:pPr>
        <w:spacing w:before="40" w:after="0"/>
      </w:pPr>
      <w:r>
        <w:rPr>
          <w:color w:val="5B5B5B"/>
          <w:sz w:val="18"/>
        </w:rPr>
        <w:t>Data Access</w:t>
      </w:r>
    </w:p>
    <w:p>
      <w:pPr>
        <w:spacing w:before="0" w:after="200"/>
        <w:shd w:val="clear" w:fill="F4F6F8"/>
        <w:pBdr>
          <w:bottom w:val="single" w:sz="8" w:space="1" w:color="8A8A8A"/>
        </w:pBdr>
      </w:pPr>
      <w:r>
        <w:rPr>
          <w:b w:val="0"/>
          <w:color w:val="222222"/>
        </w:rPr>
        <w:t>Customer support data</w:t>
      </w:r>
    </w:p>
    <w:p>
      <w:pPr>
        <w:spacing w:before="40" w:after="0"/>
      </w:pPr>
      <w:r>
        <w:rPr>
          <w:color w:val="5B5B5B"/>
          <w:sz w:val="18"/>
        </w:rPr>
        <w:t>Assessment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Assessor Role</w:t>
      </w:r>
    </w:p>
    <w:p>
      <w:pPr>
        <w:spacing w:before="0" w:after="200"/>
        <w:shd w:val="clear" w:fill="F4F6F8"/>
        <w:pBdr>
          <w:bottom w:val="single" w:sz="8" w:space="1" w:color="8A8A8A"/>
        </w:pBdr>
      </w:pPr>
      <w:r>
        <w:rPr>
          <w:b w:val="0"/>
          <w:color w:val="222222"/>
        </w:rPr>
        <w:t>Supplier Manager</w:t>
      </w:r>
    </w:p>
    <w:p>
      <w:pPr>
        <w:spacing w:before="40" w:after="0"/>
      </w:pPr>
      <w:r>
        <w:rPr>
          <w:color w:val="5B5B5B"/>
          <w:sz w:val="18"/>
        </w:rPr>
        <w:t>Overall Risk Rating</w:t>
      </w:r>
    </w:p>
    <w:p>
      <w:pPr>
        <w:spacing w:before="0" w:after="200"/>
        <w:shd w:val="clear" w:fill="F4F6F8"/>
        <w:pBdr>
          <w:bottom w:val="single" w:sz="8" w:space="1" w:color="8A8A8A"/>
        </w:pBdr>
      </w:pPr>
      <w:r>
        <w:rPr>
          <w:b w:val="0"/>
          <w:color w:val="222222"/>
        </w:rPr>
        <w:t>Medium</w:t>
      </w:r>
    </w:p>
    <w:p>
      <w:pPr>
        <w:spacing w:before="40" w:after="0"/>
      </w:pPr>
      <w:r>
        <w:rPr>
          <w:color w:val="5B5B5B"/>
          <w:sz w:val="18"/>
        </w:rPr>
        <w:t>Status</w:t>
      </w:r>
    </w:p>
    <w:p>
      <w:pPr>
        <w:spacing w:before="0" w:after="200"/>
        <w:shd w:val="clear" w:fill="F4F6F8"/>
        <w:pBdr>
          <w:bottom w:val="single" w:sz="8" w:space="1" w:color="8A8A8A"/>
        </w:pBdr>
      </w:pPr>
      <w:r>
        <w:rPr>
          <w:b w:val="0"/>
          <w:color w:val="222222"/>
        </w:rPr>
        <w:t>Approved with conditions</w:t>
      </w:r>
    </w:p>
    <w:p>
      <w:pPr>
        <w:pStyle w:val="974"/>
        <w:outlineLvl w:val="1"/>
      </w:pPr>
      <w:bookmarkStart w:id="10" w:name="_TocRAM005"/>
      <w:r>
        <w:t>Governance</w:t>
      </w:r>
      <w:bookmarkEnd w:id="10"/>
    </w:p>
    <w:p>
      <w:pPr>
        <w:spacing w:before="240" w:after="80"/>
      </w:pPr>
      <w:r>
        <w:rPr>
          <w:b/>
        </w:rPr>
        <w:t>Does the supplier maintain approved information security policies?</w:t>
      </w:r>
    </w:p>
    <w:p>
      <w:pPr>
        <w:spacing w:before="40" w:after="0"/>
      </w:pPr>
      <w:r>
        <w:rPr>
          <w:color w:val="5B5B5B"/>
          <w:sz w:val="18"/>
        </w:rPr>
        <w:t>Response</w:t>
      </w:r>
    </w:p>
    <w:p>
      <w:pPr>
        <w:spacing w:before="0" w:after="200"/>
        <w:shd w:val="clear" w:fill="F4F6F8"/>
        <w:pBdr>
          <w:bottom w:val="single" w:sz="8" w:space="1" w:color="8A8A8A"/>
        </w:pBdr>
      </w:pPr>
      <w:r>
        <w:rPr>
          <w:b w:val="0"/>
          <w:color w:val="222222"/>
        </w:rPr>
        <w:t>Yes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CLOUDDESK-SEC-OVERVIEW-2026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Notes</w:t>
      </w:r>
    </w:p>
    <w:p>
      <w:pPr>
        <w:spacing w:before="0" w:after="200"/>
        <w:shd w:val="clear" w:fill="F4F6F8"/>
        <w:pBdr>
          <w:bottom w:val="single" w:sz="8" w:space="1" w:color="8A8A8A"/>
        </w:pBdr>
      </w:pPr>
      <w:r>
        <w:rPr>
          <w:b w:val="0"/>
          <w:color w:val="222222"/>
        </w:rPr>
        <w:t>Security overview reviewed.</w:t>
      </w:r>
    </w:p>
    <w:p>
      <w:pPr>
        <w:pStyle w:val="974"/>
        <w:outlineLvl w:val="1"/>
      </w:pPr>
      <w:bookmarkStart w:id="11" w:name="_TocRAM006"/>
      <w:r>
        <w:t>Certification</w:t>
      </w:r>
      <w:bookmarkEnd w:id="11"/>
    </w:p>
    <w:p>
      <w:pPr>
        <w:spacing w:before="240" w:after="80"/>
      </w:pPr>
      <w:r>
        <w:rPr>
          <w:b/>
        </w:rPr>
        <w:t>Does the supplier hold ISO 27001, SOC (Security Operations Center) 2, or equivalent assurance?</w:t>
      </w:r>
    </w:p>
    <w:p>
      <w:pPr>
        <w:spacing w:before="40" w:after="0"/>
      </w:pPr>
      <w:r>
        <w:rPr>
          <w:color w:val="5B5B5B"/>
          <w:sz w:val="18"/>
        </w:rPr>
        <w:t>Response</w:t>
      </w:r>
    </w:p>
    <w:p>
      <w:pPr>
        <w:spacing w:before="0" w:after="200"/>
        <w:shd w:val="clear" w:fill="F4F6F8"/>
        <w:pBdr>
          <w:bottom w:val="single" w:sz="8" w:space="1" w:color="8A8A8A"/>
        </w:pBdr>
      </w:pPr>
      <w:r>
        <w:rPr>
          <w:b w:val="0"/>
          <w:color w:val="222222"/>
        </w:rPr>
        <w:t>Yes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CLOUDDESK-SOC2-2026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Notes</w:t>
      </w:r>
    </w:p>
    <w:p>
      <w:pPr>
        <w:spacing w:before="0" w:after="200"/>
        <w:shd w:val="clear" w:fill="F4F6F8"/>
        <w:pBdr>
          <w:bottom w:val="single" w:sz="8" w:space="1" w:color="8A8A8A"/>
        </w:pBdr>
      </w:pPr>
      <w:r>
        <w:rPr>
          <w:b w:val="0"/>
          <w:color w:val="222222"/>
        </w:rPr>
        <w:t>SOC 2 Type II report current.</w:t>
      </w:r>
    </w:p>
    <w:p>
      <w:pPr>
        <w:pStyle w:val="974"/>
        <w:outlineLvl w:val="1"/>
      </w:pPr>
      <w:bookmarkStart w:id="12" w:name="_TocRAM007"/>
      <w:r>
        <w:t>Access Control</w:t>
      </w:r>
      <w:bookmarkEnd w:id="12"/>
    </w:p>
    <w:p>
      <w:pPr>
        <w:spacing w:before="240" w:after="80"/>
      </w:pPr>
      <w:r>
        <w:rPr>
          <w:b/>
        </w:rPr>
        <w:t>Are access rights reviewed periodically?</w:t>
      </w:r>
    </w:p>
    <w:p>
      <w:pPr>
        <w:spacing w:before="40" w:after="0"/>
      </w:pPr>
      <w:r>
        <w:rPr>
          <w:color w:val="5B5B5B"/>
          <w:sz w:val="18"/>
        </w:rPr>
        <w:t>Response</w:t>
      </w:r>
    </w:p>
    <w:p>
      <w:pPr>
        <w:spacing w:before="0" w:after="200"/>
        <w:shd w:val="clear" w:fill="F4F6F8"/>
        <w:pBdr>
          <w:bottom w:val="single" w:sz="8" w:space="1" w:color="8A8A8A"/>
        </w:pBdr>
      </w:pPr>
      <w:r>
        <w:rPr>
          <w:b w:val="0"/>
          <w:color w:val="222222"/>
        </w:rPr>
        <w:t>Partial</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CLOUDDESK-ACCESS-FAQ (Frequently Asked Questions)-2026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Notes</w:t>
      </w:r>
    </w:p>
    <w:p>
      <w:pPr>
        <w:spacing w:before="0" w:after="200"/>
        <w:shd w:val="clear" w:fill="F4F6F8"/>
        <w:pBdr>
          <w:bottom w:val="single" w:sz="8" w:space="1" w:color="8A8A8A"/>
        </w:pBdr>
      </w:pPr>
      <w:r>
        <w:rPr>
          <w:b w:val="0"/>
          <w:color w:val="222222"/>
        </w:rPr>
        <w:t>Review cadence documented, evidence export requested.</w:t>
      </w:r>
    </w:p>
    <w:p>
      <w:pPr>
        <w:pStyle w:val="974"/>
        <w:outlineLvl w:val="1"/>
      </w:pPr>
      <w:bookmarkStart w:id="13" w:name="_TocRAM008"/>
      <w:r>
        <w:t>Data Protection</w:t>
      </w:r>
      <w:bookmarkEnd w:id="13"/>
    </w:p>
    <w:p>
      <w:pPr>
        <w:spacing w:before="240" w:after="80"/>
      </w:pPr>
      <w:r>
        <w:rPr>
          <w:b/>
        </w:rPr>
        <w:t>Are data protection and privacy requirements addressed contractually?</w:t>
      </w:r>
    </w:p>
    <w:p>
      <w:pPr>
        <w:spacing w:before="40" w:after="0"/>
      </w:pPr>
      <w:r>
        <w:rPr>
          <w:color w:val="5B5B5B"/>
          <w:sz w:val="18"/>
        </w:rPr>
        <w:t>Response</w:t>
      </w:r>
    </w:p>
    <w:p>
      <w:pPr>
        <w:spacing w:before="0" w:after="200"/>
        <w:shd w:val="clear" w:fill="F4F6F8"/>
        <w:pBdr>
          <w:bottom w:val="single" w:sz="8" w:space="1" w:color="8A8A8A"/>
        </w:pBdr>
      </w:pPr>
      <w:r>
        <w:rPr>
          <w:b w:val="0"/>
          <w:color w:val="222222"/>
        </w:rPr>
        <w:t>Yes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DPA (Data Processing Agreement)-CLOUDDESK-2026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Notes</w:t>
      </w:r>
    </w:p>
    <w:p>
      <w:pPr>
        <w:spacing w:before="0" w:after="200"/>
        <w:shd w:val="clear" w:fill="F4F6F8"/>
        <w:pBdr>
          <w:bottom w:val="single" w:sz="8" w:space="1" w:color="8A8A8A"/>
        </w:pBdr>
      </w:pPr>
      <w:r>
        <w:rPr>
          <w:b w:val="0"/>
          <w:color w:val="222222"/>
        </w:rPr>
        <w:t>DPA and subprocessor list available.</w:t>
      </w:r>
    </w:p>
    <w:p>
      <w:pPr>
        <w:pStyle w:val="974"/>
        <w:outlineLvl w:val="1"/>
      </w:pPr>
      <w:bookmarkStart w:id="14" w:name="_TocRAM009"/>
      <w:r>
        <w:t>Incident Management</w:t>
      </w:r>
      <w:bookmarkEnd w:id="14"/>
    </w:p>
    <w:p>
      <w:pPr>
        <w:spacing w:before="240" w:after="80"/>
      </w:pPr>
      <w:r>
        <w:rPr>
          <w:b/>
        </w:rPr>
        <w:t>Are incidents reported within agreed timelines?</w:t>
      </w:r>
    </w:p>
    <w:p>
      <w:pPr>
        <w:spacing w:before="40" w:after="0"/>
      </w:pPr>
      <w:r>
        <w:rPr>
          <w:color w:val="5B5B5B"/>
          <w:sz w:val="18"/>
        </w:rPr>
        <w:t>Response</w:t>
      </w:r>
    </w:p>
    <w:p>
      <w:pPr>
        <w:spacing w:before="0" w:after="200"/>
        <w:shd w:val="clear" w:fill="F4F6F8"/>
        <w:pBdr>
          <w:bottom w:val="single" w:sz="8" w:space="1" w:color="8A8A8A"/>
        </w:pBdr>
      </w:pPr>
      <w:r>
        <w:rPr>
          <w:b w:val="0"/>
          <w:color w:val="222222"/>
        </w:rPr>
        <w:t>Yes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CLOUDDESK-MSA (Master Services Agreement)-SEC-2026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Notes</w:t>
      </w:r>
    </w:p>
    <w:p>
      <w:pPr>
        <w:spacing w:before="0" w:after="200"/>
        <w:shd w:val="clear" w:fill="F4F6F8"/>
        <w:pBdr>
          <w:bottom w:val="single" w:sz="8" w:space="1" w:color="8A8A8A"/>
        </w:pBdr>
      </w:pPr>
      <w:r>
        <w:rPr>
          <w:b w:val="0"/>
          <w:color w:val="222222"/>
        </w:rPr>
        <w:t>Notification route defined.</w:t>
      </w:r>
    </w:p>
    <w:p>
      <w:pPr>
        <w:pStyle w:val="974"/>
        <w:outlineLvl w:val="1"/>
      </w:pPr>
      <w:bookmarkStart w:id="15" w:name="_TocRAM010"/>
      <w:r>
        <w:t>Continuity</w:t>
      </w:r>
      <w:bookmarkEnd w:id="15"/>
    </w:p>
    <w:p>
      <w:pPr>
        <w:spacing w:before="240" w:after="80"/>
      </w:pPr>
      <w:r>
        <w:rPr>
          <w:b/>
        </w:rPr>
        <w:t>Are continuity and recovery capabilities tested?</w:t>
      </w:r>
    </w:p>
    <w:p>
      <w:pPr>
        <w:spacing w:before="40" w:after="0"/>
      </w:pPr>
      <w:r>
        <w:rPr>
          <w:color w:val="5B5B5B"/>
          <w:sz w:val="18"/>
        </w:rPr>
        <w:t>Response</w:t>
      </w:r>
    </w:p>
    <w:p>
      <w:pPr>
        <w:spacing w:before="0" w:after="200"/>
        <w:shd w:val="clear" w:fill="F4F6F8"/>
        <w:pBdr>
          <w:bottom w:val="single" w:sz="8" w:space="1" w:color="8A8A8A"/>
        </w:pBdr>
      </w:pPr>
      <w:r>
        <w:rPr>
          <w:b w:val="0"/>
          <w:color w:val="222222"/>
        </w:rPr>
        <w:t>Partial</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CLOUDDESK-BCP-SUMMARY-2026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Notes</w:t>
      </w:r>
    </w:p>
    <w:p>
      <w:pPr>
        <w:spacing w:before="0" w:after="200"/>
        <w:shd w:val="clear" w:fill="F4F6F8"/>
        <w:pBdr>
          <w:bottom w:val="single" w:sz="8" w:space="1" w:color="8A8A8A"/>
        </w:pBdr>
      </w:pPr>
      <w:r>
        <w:rPr>
          <w:b w:val="0"/>
          <w:color w:val="222222"/>
        </w:rPr>
        <w:t>Latest restore-test summary requested.</w:t>
      </w:r>
    </w:p>
    <w:p>
      <w:pPr>
        <w:pStyle w:val="974"/>
        <w:outlineLvl w:val="1"/>
      </w:pPr>
      <w:bookmarkStart w:id="16" w:name="_TocRAM011"/>
      <w:r>
        <w:t>Subprocessors</w:t>
      </w:r>
      <w:bookmarkEnd w:id="16"/>
    </w:p>
    <w:p>
      <w:pPr>
        <w:spacing w:before="240" w:after="80"/>
      </w:pPr>
      <w:r>
        <w:rPr>
          <w:b/>
        </w:rPr>
        <w:t>Are subprocessors disclosed and controlled?</w:t>
      </w:r>
    </w:p>
    <w:p>
      <w:pPr>
        <w:spacing w:before="40" w:after="0"/>
      </w:pPr>
      <w:r>
        <w:rPr>
          <w:color w:val="5B5B5B"/>
          <w:sz w:val="18"/>
        </w:rPr>
        <w:t>Response</w:t>
      </w:r>
    </w:p>
    <w:p>
      <w:pPr>
        <w:spacing w:before="0" w:after="200"/>
        <w:shd w:val="clear" w:fill="F4F6F8"/>
        <w:pBdr>
          <w:bottom w:val="single" w:sz="8" w:space="1" w:color="8A8A8A"/>
        </w:pBdr>
      </w:pPr>
      <w:r>
        <w:rPr>
          <w:b w:val="0"/>
          <w:color w:val="222222"/>
        </w:rPr>
        <w:t>Yes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CLOUDDESK-SUBPROCESSORS-2026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Notes</w:t>
      </w:r>
    </w:p>
    <w:p>
      <w:pPr>
        <w:spacing w:before="0" w:after="200"/>
        <w:shd w:val="clear" w:fill="F4F6F8"/>
        <w:pBdr>
          <w:bottom w:val="single" w:sz="8" w:space="1" w:color="8A8A8A"/>
        </w:pBdr>
      </w:pPr>
      <w:r>
        <w:rPr>
          <w:b w:val="0"/>
          <w:color w:val="222222"/>
        </w:rPr>
        <w:t>Notification mechanism active.</w:t>
      </w:r>
    </w:p>
    <w:p>
      <w:pPr>
        <w:pStyle w:val="973"/>
        <w:outlineLvl w:val="0"/>
      </w:pPr>
      <w:bookmarkStart w:id="17" w:name="_TocRAM012"/>
      <w:bookmarkStart w:id="3" w:name="ref_evidence_and_attachments"/>
      <w:r>
        <w:t>Evidence and attachments</w:t>
      </w:r>
      <w:bookmarkEnd w:id="3"/>
      <w:bookmarkEnd w:id="17"/>
    </w:p>
    <w:tbl>
      <w:tblPr>
        <w:tblStyle w:val="1033"/>
        <w:tblW w:type="dxa" w:w="10077"/>
        <w:jc w:val="left"/>
        <w:tblLayout w:type="fixed"/>
        <w:tblLook w:firstColumn="1" w:firstRow="1" w:lastColumn="0" w:lastRow="0" w:noHBand="0" w:noVBand="1" w:val="04A0"/>
      </w:tblPr>
      <w:tblGrid>
        <w:gridCol w:w="1541"/>
        <w:gridCol w:w="1302"/>
        <w:gridCol w:w="1779"/>
        <w:gridCol w:w="1183"/>
        <w:gridCol w:w="2612"/>
        <w:gridCol w:w="1660"/>
      </w:tblGrid>
      <w:tr>
        <w:trPr>
          <w:tblHeader/>
          <w:cantSplit/>
        </w:trPr>
        <w:tc>
          <w:tcPr>
            <w:tcW w:type="dxa" w:w="1541"/>
            <w:shd w:fill="F7F9FC"/>
          </w:tcPr>
          <w:p>
            <w:r/>
            <w:r>
              <w:rPr>
                <w:b/>
                <w:color w:val="1F6FEB"/>
                <w:sz w:val="18"/>
              </w:rPr>
              <w:t>Evidence ID</w:t>
            </w:r>
          </w:p>
        </w:tc>
        <w:tc>
          <w:tcPr>
            <w:tcW w:type="dxa" w:w="1302"/>
            <w:shd w:fill="F7F9FC"/>
          </w:tcPr>
          <w:p>
            <w:r/>
            <w:r>
              <w:rPr>
                <w:b/>
                <w:color w:val="1F6FEB"/>
                <w:sz w:val="18"/>
              </w:rPr>
              <w:t>Evidence Type</w:t>
            </w:r>
          </w:p>
        </w:tc>
        <w:tc>
          <w:tcPr>
            <w:tcW w:type="dxa" w:w="1779"/>
            <w:shd w:fill="F7F9FC"/>
          </w:tcPr>
          <w:p>
            <w:r/>
            <w:r>
              <w:rPr>
                <w:b/>
                <w:color w:val="1F6FEB"/>
                <w:sz w:val="18"/>
              </w:rPr>
              <w:t>Description</w:t>
            </w:r>
          </w:p>
        </w:tc>
        <w:tc>
          <w:tcPr>
            <w:tcW w:type="dxa" w:w="1183"/>
            <w:shd w:fill="F7F9FC"/>
          </w:tcPr>
          <w:p>
            <w:r/>
            <w:r>
              <w:rPr>
                <w:b/>
                <w:color w:val="1F6FEB"/>
                <w:sz w:val="18"/>
              </w:rPr>
              <w:t>Owner</w:t>
            </w:r>
          </w:p>
        </w:tc>
        <w:tc>
          <w:tcPr>
            <w:tcW w:type="dxa" w:w="2612"/>
            <w:shd w:fill="F7F9FC"/>
          </w:tcPr>
          <w:p>
            <w:r/>
            <w:r>
              <w:rPr>
                <w:b/>
                <w:color w:val="1F6FEB"/>
                <w:sz w:val="18"/>
              </w:rPr>
              <w:t>Evidence Reference</w:t>
            </w:r>
          </w:p>
        </w:tc>
        <w:tc>
          <w:tcPr>
            <w:tcW w:type="dxa" w:w="1660"/>
            <w:shd w:fill="F7F9FC"/>
          </w:tcPr>
          <w:p>
            <w:r/>
            <w:r>
              <w:rPr>
                <w:b/>
                <w:color w:val="1F6FEB"/>
                <w:sz w:val="18"/>
              </w:rPr>
              <w:t>Retention Note</w:t>
            </w:r>
          </w:p>
        </w:tc>
      </w:tr>
      <w:tr>
        <w:trPr>
          <w:cantSplit/>
        </w:trPr>
        <w:tc>
          <w:tcPr>
            <w:tcW w:type="dxa" w:w="1541"/>
          </w:tcPr>
          <w:p>
            <w:r/>
            <w:r>
              <w:rPr>
                <w:b w:val="0"/>
                <w:color w:val="1F2328"/>
                <w:sz w:val="18"/>
              </w:rPr>
              <w:t>SSAQ-EV-001</w:t>
            </w:r>
          </w:p>
        </w:tc>
        <w:tc>
          <w:tcPr>
            <w:tcW w:type="dxa" w:w="1302"/>
          </w:tcPr>
          <w:p>
            <w:r/>
            <w:r>
              <w:rPr>
                <w:b w:val="0"/>
                <w:color w:val="1F2328"/>
                <w:sz w:val="18"/>
              </w:rPr>
              <w:t>Assurance report</w:t>
            </w:r>
          </w:p>
        </w:tc>
        <w:tc>
          <w:tcPr>
            <w:tcW w:type="dxa" w:w="1779"/>
          </w:tcPr>
          <w:p>
            <w:r/>
            <w:r>
              <w:rPr>
                <w:b w:val="0"/>
                <w:color w:val="1F2328"/>
                <w:sz w:val="18"/>
              </w:rPr>
              <w:t>SOC 2 Type II report for CloudDesk service.</w:t>
            </w:r>
          </w:p>
        </w:tc>
        <w:tc>
          <w:tcPr>
            <w:tcW w:type="dxa" w:w="1183"/>
          </w:tcPr>
          <w:p>
            <w:r/>
            <w:r>
              <w:rPr>
                <w:b w:val="0"/>
                <w:color w:val="1F2328"/>
                <w:sz w:val="18"/>
              </w:rPr>
              <w:t>Supplier Manager</w:t>
            </w:r>
          </w:p>
        </w:tc>
        <w:tc>
          <w:tcPr>
            <w:tcW w:type="dxa" w:w="2612"/>
          </w:tcPr>
          <w:p>
            <w:r/>
            <w:r>
              <w:rPr>
                <w:b w:val="0"/>
                <w:color w:val="1F2328"/>
                <w:sz w:val="18"/>
              </w:rPr>
              <w:t>CLOUDDESK-SOC2-2026</w:t>
            </w:r>
          </w:p>
        </w:tc>
        <w:tc>
          <w:tcPr>
            <w:tcW w:type="dxa" w:w="1660"/>
          </w:tcPr>
          <w:p>
            <w:r/>
            <w:r>
              <w:rPr>
                <w:b w:val="0"/>
                <w:color w:val="1F2328"/>
                <w:sz w:val="18"/>
              </w:rPr>
              <w:t>Retain with supplier file.</w:t>
            </w:r>
          </w:p>
        </w:tc>
      </w:tr>
      <w:tr>
        <w:trPr>
          <w:cantSplit/>
        </w:trPr>
        <w:tc>
          <w:tcPr>
            <w:tcW w:type="dxa" w:w="1541"/>
          </w:tcPr>
          <w:p>
            <w:r/>
            <w:r>
              <w:rPr>
                <w:b w:val="0"/>
                <w:color w:val="1F2328"/>
                <w:sz w:val="18"/>
              </w:rPr>
              <w:t>SSAQ-EV-002</w:t>
            </w:r>
          </w:p>
        </w:tc>
        <w:tc>
          <w:tcPr>
            <w:tcW w:type="dxa" w:w="1302"/>
          </w:tcPr>
          <w:p>
            <w:r/>
            <w:r>
              <w:rPr>
                <w:b w:val="0"/>
                <w:color w:val="1F2328"/>
                <w:sz w:val="18"/>
              </w:rPr>
              <w:t>Contract evidence</w:t>
            </w:r>
          </w:p>
        </w:tc>
        <w:tc>
          <w:tcPr>
            <w:tcW w:type="dxa" w:w="1779"/>
          </w:tcPr>
          <w:p>
            <w:r/>
            <w:r>
              <w:rPr>
                <w:b w:val="0"/>
                <w:color w:val="1F2328"/>
                <w:sz w:val="18"/>
              </w:rPr>
              <w:t>DPA and security schedule.</w:t>
            </w:r>
          </w:p>
        </w:tc>
        <w:tc>
          <w:tcPr>
            <w:tcW w:type="dxa" w:w="1183"/>
          </w:tcPr>
          <w:p>
            <w:r/>
            <w:r>
              <w:rPr>
                <w:b w:val="0"/>
                <w:color w:val="1F2328"/>
                <w:sz w:val="18"/>
              </w:rPr>
              <w:t>Legal Counsel</w:t>
            </w:r>
          </w:p>
        </w:tc>
        <w:tc>
          <w:tcPr>
            <w:tcW w:type="dxa" w:w="2612"/>
          </w:tcPr>
          <w:p>
            <w:r/>
            <w:r>
              <w:rPr>
                <w:b w:val="0"/>
                <w:color w:val="1F2328"/>
                <w:sz w:val="18"/>
              </w:rPr>
              <w:t>DPA-CLOUDDESK-2026</w:t>
            </w:r>
          </w:p>
        </w:tc>
        <w:tc>
          <w:tcPr>
            <w:tcW w:type="dxa" w:w="1660"/>
          </w:tcPr>
          <w:p>
            <w:r/>
            <w:r>
              <w:rPr>
                <w:b w:val="0"/>
                <w:color w:val="1F2328"/>
                <w:sz w:val="18"/>
              </w:rPr>
              <w:t>Retain for supplier relationship period.</w:t>
            </w:r>
          </w:p>
        </w:tc>
      </w:tr>
      <w:tr>
        <w:trPr>
          <w:cantSplit/>
        </w:trPr>
        <w:tc>
          <w:tcPr>
            <w:tcW w:type="dxa" w:w="1541"/>
          </w:tcPr>
          <w:p>
            <w:r/>
            <w:r>
              <w:rPr>
                <w:b w:val="0"/>
                <w:color w:val="1F2328"/>
                <w:sz w:val="18"/>
              </w:rPr>
              <w:t>SSAQ-EV-003</w:t>
            </w:r>
          </w:p>
        </w:tc>
        <w:tc>
          <w:tcPr>
            <w:tcW w:type="dxa" w:w="1302"/>
          </w:tcPr>
          <w:p>
            <w:r/>
            <w:r>
              <w:rPr>
                <w:b w:val="0"/>
                <w:color w:val="1F2328"/>
                <w:sz w:val="18"/>
              </w:rPr>
              <w:t>Follow-up request</w:t>
            </w:r>
          </w:p>
        </w:tc>
        <w:tc>
          <w:tcPr>
            <w:tcW w:type="dxa" w:w="1779"/>
          </w:tcPr>
          <w:p>
            <w:r/>
            <w:r>
              <w:rPr>
                <w:b w:val="0"/>
                <w:color w:val="1F2328"/>
                <w:sz w:val="18"/>
              </w:rPr>
              <w:t>Request for access-review and restore-test evidence.</w:t>
            </w:r>
          </w:p>
        </w:tc>
        <w:tc>
          <w:tcPr>
            <w:tcW w:type="dxa" w:w="1183"/>
          </w:tcPr>
          <w:p>
            <w:r/>
            <w:r>
              <w:rPr>
                <w:b w:val="0"/>
                <w:color w:val="1F2328"/>
                <w:sz w:val="18"/>
              </w:rPr>
              <w:t>Supplier Manager</w:t>
            </w:r>
          </w:p>
        </w:tc>
        <w:tc>
          <w:tcPr>
            <w:tcW w:type="dxa" w:w="2612"/>
          </w:tcPr>
          <w:p>
            <w:r/>
            <w:r>
              <w:rPr>
                <w:b w:val="0"/>
                <w:color w:val="1F2328"/>
                <w:sz w:val="18"/>
              </w:rPr>
              <w:t>SINV-CLOUDDESK-FU-2026-Q3</w:t>
            </w:r>
          </w:p>
        </w:tc>
        <w:tc>
          <w:tcPr>
            <w:tcW w:type="dxa" w:w="1660"/>
          </w:tcPr>
          <w:p>
            <w:r/>
            <w:r>
              <w:rPr>
                <w:b w:val="0"/>
                <w:color w:val="1F2328"/>
                <w:sz w:val="18"/>
              </w:rPr>
              <w:t>Close before next review.</w:t>
            </w:r>
          </w:p>
        </w:tc>
      </w:tr>
    </w:tbl>
    <w:p>
      <w:pPr>
        <w:spacing w:before="0" w:after="120"/>
      </w:pPr>
    </w:p>
    <w:p>
      <w:pPr>
        <w:pStyle w:val="973"/>
        <w:outlineLvl w:val="0"/>
      </w:pPr>
      <w:bookmarkStart w:id="18" w:name="_TocRAM013"/>
      <w:bookmarkStart w:id="4" w:name="ref_review_and_decision"/>
      <w:r>
        <w:t>Review and decision</w:t>
      </w:r>
      <w:bookmarkEnd w:id="4"/>
      <w:bookmarkEnd w:id="18"/>
    </w:p>
    <w:p>
      <w:pPr>
        <w:spacing w:before="40" w:after="0"/>
      </w:pPr>
      <w:r>
        <w:rPr>
          <w:color w:val="5B5B5B"/>
          <w:sz w:val="18"/>
        </w:rPr>
        <w:t>Decision</w:t>
      </w:r>
    </w:p>
    <w:p>
      <w:pPr>
        <w:spacing w:before="0" w:after="200"/>
        <w:shd w:val="clear" w:fill="F4F6F8"/>
        <w:pBdr>
          <w:bottom w:val="single" w:sz="8" w:space="1" w:color="8A8A8A"/>
        </w:pBdr>
      </w:pPr>
      <w:r>
        <w:rPr>
          <w:b w:val="0"/>
          <w:color w:val="222222"/>
        </w:rPr>
        <w:t>Approved with conditions</w:t>
      </w:r>
    </w:p>
    <w:p>
      <w:pPr>
        <w:spacing w:before="40" w:after="0"/>
      </w:pPr>
      <w:r>
        <w:rPr>
          <w:color w:val="5B5B5B"/>
          <w:sz w:val="18"/>
        </w:rPr>
        <w:t>Risk Rating</w:t>
      </w:r>
    </w:p>
    <w:p>
      <w:pPr>
        <w:spacing w:before="0" w:after="200"/>
        <w:shd w:val="clear" w:fill="F4F6F8"/>
        <w:pBdr>
          <w:bottom w:val="single" w:sz="8" w:space="1" w:color="8A8A8A"/>
        </w:pBdr>
      </w:pPr>
      <w:r>
        <w:rPr>
          <w:b w:val="0"/>
          <w:color w:val="222222"/>
        </w:rPr>
        <w:t>Medium</w:t>
      </w:r>
    </w:p>
    <w:p>
      <w:pPr>
        <w:spacing w:before="40" w:after="0"/>
      </w:pPr>
      <w:r>
        <w:rPr>
          <w:color w:val="5B5B5B"/>
          <w:sz w:val="18"/>
        </w:rPr>
        <w:t>Approval Conditions</w:t>
      </w:r>
    </w:p>
    <w:p>
      <w:pPr>
        <w:spacing w:before="0" w:after="200"/>
        <w:shd w:val="clear" w:fill="F4F6F8"/>
        <w:pBdr>
          <w:bottom w:val="single" w:sz="8" w:space="1" w:color="8A8A8A"/>
        </w:pBdr>
      </w:pPr>
      <w:r>
        <w:rPr>
          <w:b w:val="0"/>
          <w:color w:val="222222"/>
        </w:rPr>
        <w:t>Supplier must provide access-review export and latest restore-test evidence.</w:t>
      </w:r>
    </w:p>
    <w:p>
      <w:pPr>
        <w:spacing w:before="40" w:after="0"/>
      </w:pPr>
      <w:r>
        <w:rPr>
          <w:color w:val="5B5B5B"/>
          <w:sz w:val="18"/>
        </w:rPr>
        <w:t>Required Actions</w:t>
      </w:r>
    </w:p>
    <w:p>
      <w:pPr>
        <w:spacing w:before="0" w:after="200"/>
        <w:shd w:val="clear" w:fill="F4F6F8"/>
        <w:pBdr>
          <w:bottom w:val="single" w:sz="8" w:space="1" w:color="8A8A8A"/>
        </w:pBdr>
      </w:pPr>
      <w:r>
        <w:rPr>
          <w:b w:val="0"/>
          <w:color w:val="222222"/>
        </w:rPr>
        <w:t>Track two follow-up evidence requests in supplier inventory.</w:t>
      </w:r>
    </w:p>
    <w:p>
      <w:pPr>
        <w:spacing w:before="40" w:after="0"/>
      </w:pPr>
      <w:r>
        <w:rPr>
          <w:color w:val="5B5B5B"/>
          <w:sz w:val="18"/>
        </w:rPr>
        <w:t>Owner Role</w:t>
      </w:r>
    </w:p>
    <w:p>
      <w:pPr>
        <w:spacing w:before="0" w:after="200"/>
        <w:shd w:val="clear" w:fill="F4F6F8"/>
        <w:pBdr>
          <w:bottom w:val="single" w:sz="8" w:space="1" w:color="8A8A8A"/>
        </w:pBdr>
      </w:pPr>
      <w:r>
        <w:rPr>
          <w:b w:val="0"/>
          <w:color w:val="222222"/>
        </w:rPr>
        <w:t>Supplier Manager</w:t>
      </w:r>
    </w:p>
    <w:p>
      <w:pPr>
        <w:spacing w:before="40" w:after="0"/>
      </w:pPr>
      <w:r>
        <w:rPr>
          <w:color w:val="5B5B5B"/>
          <w:sz w:val="18"/>
        </w:rPr>
        <w:t>Target Date</w:t>
      </w:r>
    </w:p>
    <w:p>
      <w:pPr>
        <w:spacing w:before="0" w:after="200"/>
        <w:shd w:val="clear" w:fill="F4F6F8"/>
        <w:pBdr>
          <w:bottom w:val="single" w:sz="8" w:space="1" w:color="8A8A8A"/>
        </w:pBdr>
      </w:pPr>
      <w:r>
        <w:rPr>
          <w:b w:val="0"/>
          <w:color w:val="222222"/>
        </w:rPr>
        <w:t>2026-09-15</w:t>
      </w:r>
    </w:p>
    <w:p>
      <w:pPr>
        <w:spacing w:before="40" w:after="0"/>
      </w:pPr>
      <w:r>
        <w:rPr>
          <w:color w:val="5B5B5B"/>
          <w:sz w:val="18"/>
        </w:rPr>
        <w:t>Reviewed by</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Decision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SSAQ-2026-CLOUDDESK-001</w:t>
      </w:r>
    </w:p>
    <w:p>
      <w:pPr>
        <w:pStyle w:val="973"/>
        <w:outlineLvl w:val="0"/>
      </w:pPr>
      <w:bookmarkStart w:id="19" w:name="_TocRAM014"/>
      <w:bookmarkStart w:id="5" w:name="ref_external_references"/>
      <w:r>
        <w:t>References</w:t>
      </w:r>
      <w:bookmarkEnd w:id="5"/>
      <w:bookmarkEnd w:id="19"/>
    </w:p>
    <w:p>
      <w:r>
        <w:rPr>
          <w:b w:val="0"/>
        </w:rPr>
        <w:t>Cite these sources from workshops and audits. This list names ISO clauses, book chapters and companion artifacts used by this file.</w:t>
      </w:r>
    </w:p>
    <w:p>
      <w:pPr>
        <w:pStyle w:val="1006"/>
        <w:ind w:left="360" w:hanging="259"/>
        <w:numPr>
          <w:ilvl w:val="0"/>
          <w:numId w:val="11"/>
        </w:numPr>
      </w:pPr>
      <w:hyperlink r:id="rId16"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1"/>
        </w:numPr>
      </w:pPr>
      <w:hyperlink r:id="rId17" w:history="1">
        <w:r>
          <w:rPr>
            <w:color w:val="0563C1"/>
            <w:u w:val="single"/>
          </w:rPr>
          <w:t xml:space="preserve">Building the ISMS, HR (Human Resources) Security: Screening, Onboarding &amp; Offboarding</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Building the ISMS, HR Security: Screening, Onboarding &amp; Offboarding</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Building the ISMS, Planning, Risk &amp; Objectives (Clause 6)</w:t>
        </w:r>
      </w:hyperlink>
      <w:r>
        <w:rPr>
          <w:b w:val="0"/>
        </w:rPr>
        <w:t xml:space="preserve"> — Documented information, review and version discipline.</w:t>
      </w:r>
    </w:p>
    <w:p>
      <w:pPr>
        <w:pStyle w:val="1006"/>
        <w:ind w:left="360" w:hanging="259"/>
        <w:numPr>
          <w:ilvl w:val="0"/>
          <w:numId w:val="11"/>
        </w:numPr>
      </w:pPr>
      <w:hyperlink r:id="rId17" w:history="1">
        <w:r>
          <w:rPr>
            <w:color w:val="0563C1"/>
            <w:u w:val="single"/>
          </w:rPr>
          <w:t xml:space="preserve">BCP Business Continuity Plan (BCP) (Building the ISMS, Business Continuity &amp; Disaster Recovery)</w:t>
        </w:r>
      </w:hyperlink>
      <w:r>
        <w:rPr>
          <w:b w:val="0"/>
        </w:rPr>
        <w:t xml:space="preserve"> — Interface record. Cite this Document Control version; do not copy this file into that record.</w:t>
      </w:r>
    </w:p>
    <w:p>
      <w:pPr>
        <w:pStyle w:val="1006"/>
        <w:ind w:left="360" w:hanging="259"/>
        <w:numPr>
          <w:ilvl w:val="0"/>
          <w:numId w:val="11"/>
        </w:numPr>
      </w:pPr>
      <w:hyperlink r:id="rId17" w:history="1">
        <w:r>
          <w:rPr>
            <w:color w:val="0563C1"/>
            <w:u w:val="single"/>
          </w:rPr>
          <w:t xml:space="preserve">ISO Information Security Objectives (Building the ISMS, Information Security Policies &amp; Risk Management)</w:t>
        </w:r>
      </w:hyperlink>
      <w:r>
        <w:rPr>
          <w:b w:val="0"/>
        </w:rPr>
        <w:t xml:space="preserve"> — Interface record. Cite this Document Control version; do not copy this file into that record.</w:t>
      </w:r>
    </w:p>
    <w:p>
      <w:pPr>
        <w:pStyle w:val="1006"/>
        <w:ind w:left="360" w:hanging="259"/>
        <w:numPr>
          <w:ilvl w:val="0"/>
          <w:numId w:val="11"/>
        </w:numPr>
      </w:pPr>
      <w:hyperlink r:id="rId17" w:history="1">
        <w:r>
          <w:rPr>
            <w:color w:val="0563C1"/>
            <w:u w:val="single"/>
          </w:rPr>
          <w:t xml:space="preserve">SINV Supplier Inventory (Building the ISMS, Supplier Security &amp; Third-party Risk Management)</w:t>
        </w:r>
      </w:hyperlink>
      <w:r>
        <w:rPr>
          <w:b w:val="0"/>
        </w:rPr>
        <w:t xml:space="preserve"> — Interface record. Cite this Document Control version; do not copy this file into that record.</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Supplier Security Assessment Questionnaire (SSAQ)</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https://www.iso.org/standard/82875.html" TargetMode="External"/><Relationship Id="rId17"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Security Assessment Questionnaire</dc:title>
  <dc:subject>Official ExportableProof Companion Artifact SSAQ</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Form</cp:category>
</cp:coreProperties>
</file>