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Supplier Relationships Policy</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is a fictional Arcfield worked example of SUP-REL-POL-001. It states operating rules for Supplier Relationships Policy. The cover status is not a real management-team approval and not a certification statement. New numerical and method choices are EXAMPLE_DECISION and pending review. They are not ISO (International Organization for Standardization)/IEC 27001:2022 obligations and not a recovered Artifact Candidate page.</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Supplier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ISMS Manager</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604"/>
        <w:gridCol w:w="1468"/>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604"/>
            <w:shd w:fill="F7F9FC"/>
          </w:tcPr>
          <w:p>
            <w:r/>
            <w:r>
              <w:rPr>
                <w:b/>
                <w:color w:val="1F6FEB"/>
                <w:sz w:val="18"/>
              </w:rPr>
              <w:t>Change</w:t>
            </w:r>
          </w:p>
        </w:tc>
        <w:tc>
          <w:tcPr>
            <w:tcW w:type="dxa" w:w="1468"/>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604"/>
          </w:tcPr>
          <w:p>
            <w:r/>
            <w:r>
              <w:rPr>
                <w:b w:val="0"/>
                <w:color w:val="1F2328"/>
                <w:sz w:val="18"/>
              </w:rPr>
              <w:t>Initial Arcfield Platform publication.</w:t>
            </w:r>
          </w:p>
        </w:tc>
        <w:tc>
          <w:tcPr>
            <w:tcW w:type="dxa" w:w="1468"/>
          </w:tcPr>
          <w:p>
            <w:r/>
            <w:r>
              <w:rPr>
                <w:b w:val="0"/>
                <w:color w:val="1F2328"/>
                <w:sz w:val="18"/>
              </w:rPr>
              <w:t>ISMS Manager</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604"/>
          </w:tcPr>
          <w:p>
            <w:r/>
            <w:r>
              <w:rPr>
                <w:b w:val="0"/>
                <w:color w:val="1F2328"/>
                <w:sz w:val="18"/>
              </w:rPr>
              <w:t>Approved Arcfield worked example after the 11 September 2026 internal audit.</w:t>
            </w:r>
          </w:p>
        </w:tc>
        <w:tc>
          <w:tcPr>
            <w:tcW w:type="dxa" w:w="1468"/>
          </w:tcPr>
          <w:p>
            <w:r/>
            <w:r>
              <w:rPr>
                <w:b w:val="0"/>
                <w:color w:val="1F2328"/>
                <w:sz w:val="18"/>
              </w:rPr>
              <w:t>ISMS Manager</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Policy</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policy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Systems, integrations and data</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Supplier classification</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Due diligence</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Contractual requirements</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Ongoing monitoring</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Supplier incidents, changes and exit</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Evidence expectations</w:t>
            </w:r>
            <w:r>
              <w:tab/>
            </w:r>
            <w:r>
              <w:fldChar w:fldCharType="begin"/>
              <w:instrText xml:space="preserve"> PAGEREF _TocRAM011 \h </w:instrText>
              <w:fldChar w:fldCharType="separate"/>
              <w:t xml:space="preserve"> </w:t>
              <w:fldChar w:fldCharType="end"/>
            </w:r>
          </w:hyperlink>
        </w:p>
        <w:p>
          <w:pPr>
            <w:pStyle w:val="957"/>
            <w:tabs>
              <w:tab w:val="right" w:leader="dot" w:pos="10080"/>
            </w:tabs>
          </w:pPr>
          <w:hyperlink w:anchor="_TocRAM012" w:history="1">
            <w:r>
              <w:rPr>
                <w:rStyle w:val="955"/>
              </w:rPr>
              <w:t xml:space="preserve">Evidence and records</w:t>
            </w:r>
            <w:r>
              <w:tab/>
            </w:r>
            <w:r>
              <w:fldChar w:fldCharType="begin"/>
              <w:instrText xml:space="preserve"> PAGEREF _TocRAM012 \h </w:instrText>
              <w:fldChar w:fldCharType="separate"/>
              <w:t xml:space="preserve"> </w:t>
              <w:fldChar w:fldCharType="end"/>
            </w:r>
          </w:hyperlink>
        </w:p>
        <w:p>
          <w:pPr>
            <w:pStyle w:val="957"/>
            <w:tabs>
              <w:tab w:val="right" w:leader="dot" w:pos="10080"/>
            </w:tabs>
          </w:pPr>
          <w:hyperlink w:anchor="_TocRAM013" w:history="1">
            <w:r>
              <w:rPr>
                <w:rStyle w:val="955"/>
              </w:rPr>
              <w:t xml:space="preserve">References</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Linked documents</w:t>
            </w:r>
            <w:r>
              <w:tab/>
            </w:r>
            <w:r>
              <w:fldChar w:fldCharType="begin"/>
              <w:instrText xml:space="preserve"> PAGEREF _TocRAM014 \h </w:instrText>
              <w:fldChar w:fldCharType="separate"/>
              <w:t xml:space="preserve"> </w:t>
              <w:fldChar w:fldCharType="end"/>
            </w:r>
          </w:hyperlink>
        </w:p>
        <w:p>
          <w:pPr>
            <w:pStyle w:val="958"/>
            <w:tabs>
              <w:tab w:val="right" w:leader="dot" w:pos="10080"/>
            </w:tabs>
          </w:pPr>
          <w:hyperlink w:anchor="_TocRAM015" w:history="1">
            <w:r>
              <w:rPr>
                <w:rStyle w:val="955"/>
              </w:rPr>
              <w:t xml:space="preserve">External references</w:t>
            </w:r>
            <w:r>
              <w:tab/>
            </w:r>
            <w:r>
              <w:fldChar w:fldCharType="begin"/>
              <w:instrText xml:space="preserve"> PAGEREF _TocRAM015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This file is a fictional Arcfield example, not your organization's approved policy. Copy this file as the controlled Word master for your ISMS (Information Security Management System) only after you replace Arcfield decisions with your own.</w:t>
      </w:r>
    </w:p>
    <w:p>
      <w:pPr>
        <w:pStyle w:val="1006"/>
        <w:ind w:left="360" w:hanging="259"/>
        <w:numPr>
          <w:ilvl w:val="0"/>
          <w:numId w:val="10"/>
        </w:numPr>
      </w:pPr>
      <w:r>
        <w:rPr>
          <w:b w:val="0"/>
        </w:rPr>
        <w:t>Treat SUP-REL-POL-001 and the rule IDs as the example identity. Cover status Approved is the Arcfield scenario freeze, not a real management-team sign-off of these new rule sentences.</w:t>
      </w:r>
    </w:p>
    <w:p>
      <w:pPr>
        <w:pStyle w:val="1006"/>
        <w:ind w:left="360" w:hanging="259"/>
        <w:numPr>
          <w:ilvl w:val="0"/>
          <w:numId w:val="10"/>
        </w:numPr>
      </w:pPr>
      <w:r>
        <w:rPr>
          <w:b w:val="0"/>
        </w:rPr>
        <w:t>Replace Arcfield names, methods and owners before you adopt the file.</w:t>
      </w:r>
    </w:p>
    <w:p>
      <w:pPr>
        <w:pStyle w:val="1006"/>
        <w:ind w:left="360" w:hanging="259"/>
        <w:numPr>
          <w:ilvl w:val="0"/>
          <w:numId w:val="10"/>
        </w:numPr>
      </w:pPr>
      <w:r>
        <w:rPr>
          <w:b w:val="0"/>
        </w:rPr>
        <w:t>Cite the Document Control version from related records. Do not copy this body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Building the ISMS, Supplier Security &amp; Third-party Risk Management</w:t>
            </w:r>
          </w:p>
        </w:tc>
      </w:tr>
    </w:tbl>
    <w:p>
      <w:r>
        <w:br w:type="page"/>
      </w:r>
    </w:p>
    <w:p>
      <w:pPr>
        <w:pStyle w:val="973"/>
        <w:outlineLvl w:val="0"/>
      </w:pPr>
      <w:bookmarkStart w:id="5" w:name="_TocRAM001"/>
      <w:bookmarkStart w:id="2" w:name="ref_policy_content"/>
      <w:r>
        <w:t>Policy</w:t>
      </w:r>
      <w:bookmarkEnd w:id="2"/>
      <w:bookmarkEnd w:id="5"/>
    </w:p>
    <w:p>
      <w:pPr>
        <w:pStyle w:val="974"/>
        <w:outlineLvl w:val="1"/>
      </w:pPr>
      <w:bookmarkStart w:id="6" w:name="_TocRAM002"/>
      <w:r>
        <w:t>What this policy is</w:t>
      </w:r>
      <w:bookmarkEnd w:id="6"/>
    </w:p>
    <w:p>
      <w:r>
        <w:rPr>
          <w:b w:val="0"/>
        </w:rPr>
        <w:t>This document is Arcfield's Supplier Relationships Policy, document ID SUP-REL-POL-001. It binds supplier security classification, due diligence, contracting, monitoring, incidents and exit for suppliers that can affect Arcfield Platform confidentiality, integrity or availability. It is not the ISMS Scope Statement, the Risk Assessment Methodology or the Statement of Applicability. It applies to Arcfield Platform production, customer data, CI/CD (Continuous Integration / Continuous Delivery), privileged access and critical suppliers. Neighbouring records cite this Document Control version. Do not copy these paragraphs into those records.</w:t>
      </w:r>
    </w:p>
    <w:p>
      <w:pPr>
        <w:pStyle w:val="974"/>
        <w:outlineLvl w:val="1"/>
      </w:pPr>
      <w:bookmarkStart w:id="7" w:name="_TocRAM003"/>
      <w:r>
        <w:t>Scope</w:t>
      </w:r>
      <w:bookmarkEnd w:id="7"/>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7056"/>
        <w:gridCol w:w="3024"/>
      </w:tblGrid>
      <w:tr>
        <w:trPr>
          <w:tblHeader/>
          <w:cantSplit/>
        </w:trPr>
        <w:tc>
          <w:tcPr>
            <w:tcW w:type="dxa" w:w="7056"/>
            <w:shd w:fill="F7F9FC"/>
          </w:tcPr>
          <w:p>
            <w:r/>
            <w:r>
              <w:rPr>
                <w:b/>
                <w:color w:val="1F6FEB"/>
                <w:sz w:val="18"/>
              </w:rPr>
              <w:t>In this policy</w:t>
            </w:r>
          </w:p>
        </w:tc>
        <w:tc>
          <w:tcPr>
            <w:tcW w:type="dxa" w:w="3024"/>
            <w:shd w:fill="F7F9FC"/>
          </w:tcPr>
          <w:p>
            <w:r/>
            <w:r>
              <w:rPr>
                <w:b/>
                <w:color w:val="1F6FEB"/>
                <w:sz w:val="18"/>
              </w:rPr>
              <w:t>Not in this policy</w:t>
            </w:r>
          </w:p>
        </w:tc>
      </w:tr>
      <w:tr>
        <w:trPr>
          <w:cantSplit/>
        </w:trPr>
        <w:tc>
          <w:tcPr>
            <w:tcW w:type="dxa" w:w="7056"/>
          </w:tcPr>
          <w:p>
            <w:r/>
            <w:r>
              <w:rPr>
                <w:b w:val="0"/>
                <w:color w:val="1F2328"/>
                <w:sz w:val="18"/>
              </w:rPr>
              <w:t>The classified rules SRP-CLS-001, SRP-DD-001, SRP-CTR-001 through SRP-EV-001, roles, the worked Arcfield example and the records this file owns.</w:t>
            </w:r>
          </w:p>
        </w:tc>
        <w:tc>
          <w:tcPr>
            <w:tcW w:type="dxa" w:w="3024"/>
          </w:tcPr>
          <w:p>
            <w:r/>
            <w:r>
              <w:rPr>
                <w:b w:val="0"/>
                <w:color w:val="1F2328"/>
                <w:sz w:val="18"/>
              </w:rPr>
              <w:t>The ISMS boundary (ISS), Annex A selection (SoA), or live neighbouring registers. Those files keep their own versions.</w:t>
            </w:r>
          </w:p>
        </w:tc>
      </w:tr>
      <w:tr>
        <w:trPr>
          <w:cantSplit/>
        </w:trPr>
        <w:tc>
          <w:tcPr>
            <w:tcW w:type="dxa" w:w="7056"/>
          </w:tcPr>
          <w:p>
            <w:r/>
            <w:r>
              <w:rPr>
                <w:b w:val="0"/>
                <w:color w:val="1F2328"/>
                <w:sz w:val="18"/>
              </w:rPr>
              <w:t>Interfaces that must cite this Document Control version, including CI/CD, identity and suppliers where they affect confidentiality, integrity or availability.</w:t>
            </w:r>
          </w:p>
        </w:tc>
        <w:tc>
          <w:tcPr>
            <w:tcW w:type="dxa" w:w="3024"/>
          </w:tcPr>
          <w:p>
            <w:r/>
            <w:r>
              <w:rPr>
                <w:b w:val="0"/>
                <w:color w:val="1F2328"/>
                <w:sz w:val="18"/>
              </w:rPr>
              <w:t>Live ISS or SoA decisions. Neighbouring live registers keep their own versions. Those files are named, not copied here.</w:t>
            </w:r>
          </w:p>
        </w:tc>
      </w:tr>
    </w:tbl>
    <w:p>
      <w:pPr>
        <w:spacing w:before="0" w:after="120"/>
      </w:pPr>
    </w:p>
    <w:p>
      <w:pPr>
        <w:pStyle w:val="974"/>
        <w:outlineLvl w:val="1"/>
      </w:pPr>
      <w:bookmarkStart w:id="8" w:name="_TocRAM004"/>
      <w:r>
        <w:t>Terms used here</w:t>
      </w:r>
      <w:bookmarkEnd w:id="8"/>
    </w:p>
    <w:p>
      <w:r>
        <w:rPr>
          <w:b w:val="0"/>
        </w:rPr>
        <w:t>These terms are local to this file. Expand every acronym on first use in the body. Artefact ID ISO is Information Security Objectives, not the International Organization for Standardization.</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Owner</w:t>
            </w:r>
          </w:p>
        </w:tc>
        <w:tc>
          <w:tcPr>
            <w:tcW w:type="dxa" w:w="7240"/>
          </w:tcPr>
          <w:p>
            <w:r/>
            <w:r>
              <w:rPr>
                <w:b w:val="0"/>
                <w:color w:val="1F2328"/>
                <w:sz w:val="18"/>
              </w:rPr>
              <w:t>The named role that can be called in an audit for an outcome. A team name is not an owner.</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 An expired row does not authorise continued deviation.</w:t>
            </w:r>
          </w:p>
        </w:tc>
      </w:tr>
      <w:tr>
        <w:trPr>
          <w:cantSplit/>
        </w:trPr>
        <w:tc>
          <w:tcPr>
            <w:tcW w:type="dxa" w:w="2840"/>
          </w:tcPr>
          <w:p>
            <w:r/>
            <w:r>
              <w:rPr>
                <w:b w:val="0"/>
                <w:color w:val="1F2328"/>
                <w:sz w:val="18"/>
              </w:rPr>
              <w:t>Document Control version</w:t>
            </w:r>
          </w:p>
        </w:tc>
        <w:tc>
          <w:tcPr>
            <w:tcW w:type="dxa" w:w="7240"/>
          </w:tcPr>
          <w:p>
            <w:r/>
            <w:r>
              <w:rPr>
                <w:b w:val="0"/>
                <w:color w:val="1F2328"/>
                <w:sz w:val="18"/>
              </w:rPr>
              <w:t>The version cited from neighbouring records. Do not copy this body into those records.</w:t>
            </w:r>
          </w:p>
        </w:tc>
      </w:tr>
      <w:tr>
        <w:trPr>
          <w:cantSplit/>
        </w:trPr>
        <w:tc>
          <w:tcPr>
            <w:tcW w:type="dxa" w:w="2840"/>
          </w:tcPr>
          <w:p>
            <w:r/>
            <w:r>
              <w:rPr>
                <w:b w:val="0"/>
                <w:color w:val="1F2328"/>
                <w:sz w:val="18"/>
              </w:rPr>
              <w:t>Enforcement</w:t>
            </w:r>
          </w:p>
        </w:tc>
        <w:tc>
          <w:tcPr>
            <w:tcW w:type="dxa" w:w="7240"/>
          </w:tcPr>
          <w:p>
            <w:r/>
            <w:r>
              <w:rPr>
                <w:b w:val="0"/>
                <w:color w:val="1F2328"/>
                <w:sz w:val="18"/>
              </w:rPr>
              <w:t>The named system rejects the unauthorised attempt for the named population. Registration or capability is not enforcement.</w:t>
            </w:r>
          </w:p>
        </w:tc>
      </w:tr>
    </w:tbl>
    <w:p>
      <w:pPr>
        <w:spacing w:before="0" w:after="120"/>
      </w:pPr>
    </w:p>
    <w:p>
      <w:pPr>
        <w:pStyle w:val="974"/>
        <w:outlineLvl w:val="1"/>
      </w:pPr>
      <w:bookmarkStart w:id="9" w:name="_TocRAM005"/>
      <w:r>
        <w:t>Systems, integrations and data</w:t>
      </w:r>
      <w:bookmarkEnd w:id="9"/>
    </w:p>
    <w:p>
      <w:r>
        <w:rPr>
          <w:b w:val="0"/>
        </w:rPr>
        <w:t>Related inventories live in the companion documents named below. Cite the approved version. Do not copy their content. Availability follows the book pack, not this sentence.</w:t>
      </w:r>
    </w:p>
    <w:p>
      <w:pPr>
        <w:pStyle w:val="1006"/>
        <w:ind w:left="360" w:hanging="259"/>
        <w:numPr>
          <w:ilvl w:val="0"/>
          <w:numId w:val="11"/>
        </w:numPr>
      </w:pPr>
      <w:hyperlink r:id="rId16" w:history="1">
        <w:r>
          <w:rPr>
            <w:color w:val="0563C1"/>
            <w:u w:val="single"/>
          </w:rPr>
          <w:t xml:space="preserve">Asset Inventory</w:t>
        </w:r>
      </w:hyperlink>
      <w:r>
        <w:rPr>
          <w:b w:val="0"/>
        </w:rPr>
        <w:t xml:space="preserve"> — In-scope assets with owner, classification, hosting, personal-data flag and related risk.</w:t>
      </w:r>
    </w:p>
    <w:p>
      <w:pPr>
        <w:pStyle w:val="1006"/>
        <w:ind w:left="360" w:hanging="259"/>
        <w:numPr>
          <w:ilvl w:val="0"/>
          <w:numId w:val="11"/>
        </w:numPr>
      </w:pPr>
      <w:hyperlink r:id="rId17" w:history="1">
        <w:r>
          <w:rPr>
            <w:color w:val="0563C1"/>
            <w:u w:val="single"/>
          </w:rPr>
          <w:t xml:space="preserve">Supplier Inventory</w:t>
        </w:r>
      </w:hyperlink>
      <w:r>
        <w:rPr>
          <w:b w:val="0"/>
        </w:rPr>
        <w:t xml:space="preserve"> — Security-relevant suppliers with tier, due diligence, contract controls, subprocessors and exit planning.</w:t>
      </w:r>
    </w:p>
    <w:p>
      <w:pPr>
        <w:pStyle w:val="1006"/>
        <w:ind w:left="360" w:hanging="259"/>
        <w:numPr>
          <w:ilvl w:val="0"/>
          <w:numId w:val="11"/>
        </w:numPr>
      </w:pPr>
      <w:hyperlink r:id="rId18" w:history="1">
        <w:r>
          <w:rPr>
            <w:color w:val="0563C1"/>
            <w:u w:val="single"/>
          </w:rPr>
          <w:t xml:space="preserve">Users and Access Inventory</w:t>
        </w:r>
      </w:hyperlink>
      <w:r>
        <w:rPr>
          <w:b w:val="0"/>
        </w:rPr>
        <w:t xml:space="preserve"> — Users and accounts with access rights, privileged access, MFA status, reviews and revocations.</w:t>
      </w:r>
    </w:p>
    <w:p>
      <w:pPr>
        <w:pStyle w:val="974"/>
        <w:outlineLvl w:val="1"/>
      </w:pPr>
      <w:bookmarkStart w:id="10" w:name="_TocRAM006"/>
      <w:r>
        <w:t>Supplier classification</w:t>
      </w:r>
      <w:bookmarkEnd w:id="10"/>
    </w:p>
    <w:p>
      <w:r>
        <w:rPr>
          <w:b w:val="0"/>
        </w:rPr>
        <w:t>Read SRP-CLS-001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2008"/>
        <w:gridCol w:w="2912"/>
        <w:gridCol w:w="1432"/>
        <w:gridCol w:w="1864"/>
      </w:tblGrid>
      <w:tr>
        <w:trPr>
          <w:tblHeader/>
          <w:cantSplit/>
        </w:trPr>
        <w:tc>
          <w:tcPr>
            <w:tcW w:type="dxa" w:w="1864"/>
            <w:shd w:fill="F7F9FC"/>
          </w:tcPr>
          <w:p>
            <w:r/>
            <w:r>
              <w:rPr>
                <w:b/>
                <w:color w:val="1F6FEB"/>
                <w:sz w:val="18"/>
              </w:rPr>
              <w:t>Rule ID</w:t>
            </w:r>
          </w:p>
        </w:tc>
        <w:tc>
          <w:tcPr>
            <w:tcW w:type="dxa" w:w="2008"/>
            <w:shd w:fill="F7F9FC"/>
          </w:tcPr>
          <w:p>
            <w:r/>
            <w:r>
              <w:rPr>
                <w:b/>
                <w:color w:val="1F6FEB"/>
                <w:sz w:val="18"/>
              </w:rPr>
              <w:t>Statement</w:t>
            </w:r>
          </w:p>
        </w:tc>
        <w:tc>
          <w:tcPr>
            <w:tcW w:type="dxa" w:w="2912"/>
            <w:shd w:fill="F7F9FC"/>
          </w:tcPr>
          <w:p>
            <w:r/>
            <w:r>
              <w:rPr>
                <w:b/>
                <w:color w:val="1F6FEB"/>
                <w:sz w:val="18"/>
              </w:rPr>
              <w:t>Scope</w:t>
            </w:r>
          </w:p>
        </w:tc>
        <w:tc>
          <w:tcPr>
            <w:tcW w:type="dxa" w:w="1432"/>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864"/>
          </w:tcPr>
          <w:p>
            <w:r/>
            <w:r>
              <w:rPr>
                <w:b w:val="0"/>
                <w:color w:val="1F2328"/>
                <w:sz w:val="18"/>
              </w:rPr>
              <w:t>SRP-CLS-001</w:t>
            </w:r>
          </w:p>
        </w:tc>
        <w:tc>
          <w:tcPr>
            <w:tcW w:type="dxa" w:w="2008"/>
          </w:tcPr>
          <w:p>
            <w:r/>
            <w:r>
              <w:rPr>
                <w:b w:val="0"/>
                <w:color w:val="1F2328"/>
                <w:sz w:val="18"/>
              </w:rPr>
              <w:t>A supplier that can affect Arcfield Platform customer data, production or identity is classified in the Supplier Inventory before it is used. An unclassified critical supplier is not authorised.</w:t>
            </w:r>
          </w:p>
        </w:tc>
        <w:tc>
          <w:tcPr>
            <w:tcW w:type="dxa" w:w="2912"/>
          </w:tcPr>
          <w:p>
            <w:r/>
            <w:r>
              <w:rPr>
                <w:b w:val="0"/>
                <w:color w:val="1F2328"/>
                <w:sz w:val="18"/>
              </w:rPr>
              <w:t>Security-relevant suppliers.</w:t>
            </w:r>
          </w:p>
        </w:tc>
        <w:tc>
          <w:tcPr>
            <w:tcW w:type="dxa" w:w="1432"/>
          </w:tcPr>
          <w:p>
            <w:r/>
            <w:r>
              <w:rPr>
                <w:b w:val="0"/>
                <w:color w:val="1F2328"/>
                <w:sz w:val="18"/>
              </w:rPr>
              <w:t>Supplier Manager</w:t>
            </w:r>
          </w:p>
        </w:tc>
        <w:tc>
          <w:tcPr>
            <w:tcW w:type="dxa" w:w="1864"/>
          </w:tcPr>
          <w:p>
            <w:r/>
            <w:r>
              <w:rPr>
                <w:b w:val="0"/>
                <w:color w:val="1F2328"/>
                <w:sz w:val="18"/>
              </w:rPr>
              <w:t>Expected: SINV row with tier. No observation is supplied.</w:t>
            </w:r>
          </w:p>
        </w:tc>
      </w:tr>
    </w:tbl>
    <w:p>
      <w:pPr>
        <w:spacing w:before="0" w:after="120"/>
      </w:pPr>
    </w:p>
    <w:p>
      <w:pPr>
        <w:pStyle w:val="974"/>
        <w:outlineLvl w:val="1"/>
      </w:pPr>
      <w:bookmarkStart w:id="11" w:name="_TocRAM007"/>
      <w:r>
        <w:t>Due diligence</w:t>
      </w:r>
      <w:bookmarkEnd w:id="11"/>
    </w:p>
    <w:p>
      <w:r>
        <w:rPr>
          <w:b w:val="0"/>
        </w:rPr>
        <w:t>Read SRP-DD-001 as the classified Arcfield rule for this topic. Capability or presence is not enforcement.</w:t>
      </w:r>
    </w:p>
    <w:tbl>
      <w:tblPr>
        <w:tblStyle w:val="1033"/>
        <w:tblW w:type="dxa" w:w="10079"/>
        <w:jc w:val="left"/>
        <w:tblLayout w:type="fixed"/>
        <w:tblLook w:firstColumn="1" w:firstRow="1" w:lastColumn="0" w:lastRow="0" w:noHBand="0" w:noVBand="1" w:val="04A0"/>
      </w:tblPr>
      <w:tblGrid>
        <w:gridCol w:w="1702"/>
        <w:gridCol w:w="2130"/>
        <w:gridCol w:w="2700"/>
        <w:gridCol w:w="1417"/>
        <w:gridCol w:w="2130"/>
      </w:tblGrid>
      <w:tr>
        <w:trPr>
          <w:tblHeader/>
          <w:cantSplit/>
        </w:trPr>
        <w:tc>
          <w:tcPr>
            <w:tcW w:type="dxa" w:w="1702"/>
            <w:shd w:fill="F7F9FC"/>
          </w:tcPr>
          <w:p>
            <w:r/>
            <w:r>
              <w:rPr>
                <w:b/>
                <w:color w:val="1F6FEB"/>
                <w:sz w:val="18"/>
              </w:rPr>
              <w:t>Rule ID</w:t>
            </w:r>
          </w:p>
        </w:tc>
        <w:tc>
          <w:tcPr>
            <w:tcW w:type="dxa" w:w="2130"/>
            <w:shd w:fill="F7F9FC"/>
          </w:tcPr>
          <w:p>
            <w:r/>
            <w:r>
              <w:rPr>
                <w:b/>
                <w:color w:val="1F6FEB"/>
                <w:sz w:val="18"/>
              </w:rPr>
              <w:t>Statement</w:t>
            </w:r>
          </w:p>
        </w:tc>
        <w:tc>
          <w:tcPr>
            <w:tcW w:type="dxa" w:w="2700"/>
            <w:shd w:fill="F7F9FC"/>
          </w:tcPr>
          <w:p>
            <w:r/>
            <w:r>
              <w:rPr>
                <w:b/>
                <w:color w:val="1F6FEB"/>
                <w:sz w:val="18"/>
              </w:rPr>
              <w:t>Scope</w:t>
            </w:r>
          </w:p>
        </w:tc>
        <w:tc>
          <w:tcPr>
            <w:tcW w:type="dxa" w:w="1417"/>
            <w:shd w:fill="F7F9FC"/>
          </w:tcPr>
          <w:p>
            <w:r/>
            <w:r>
              <w:rPr>
                <w:b/>
                <w:color w:val="1F6FEB"/>
                <w:sz w:val="18"/>
              </w:rPr>
              <w:t>Owner</w:t>
            </w:r>
          </w:p>
        </w:tc>
        <w:tc>
          <w:tcPr>
            <w:tcW w:type="dxa" w:w="2130"/>
            <w:shd w:fill="F7F9FC"/>
          </w:tcPr>
          <w:p>
            <w:r/>
            <w:r>
              <w:rPr>
                <w:b/>
                <w:color w:val="1F6FEB"/>
                <w:sz w:val="18"/>
              </w:rPr>
              <w:t>Evidence expectation</w:t>
            </w:r>
          </w:p>
        </w:tc>
      </w:tr>
      <w:tr>
        <w:trPr>
          <w:cantSplit/>
        </w:trPr>
        <w:tc>
          <w:tcPr>
            <w:tcW w:type="dxa" w:w="1702"/>
          </w:tcPr>
          <w:p>
            <w:r/>
            <w:r>
              <w:rPr>
                <w:b w:val="0"/>
                <w:color w:val="1F2328"/>
                <w:sz w:val="18"/>
              </w:rPr>
              <w:t>SRP-DD-001</w:t>
            </w:r>
          </w:p>
        </w:tc>
        <w:tc>
          <w:tcPr>
            <w:tcW w:type="dxa" w:w="2130"/>
          </w:tcPr>
          <w:p>
            <w:r/>
            <w:r>
              <w:rPr>
                <w:b w:val="0"/>
                <w:color w:val="1F2328"/>
                <w:sz w:val="18"/>
              </w:rPr>
              <w:t>Due diligence proportionate to the tier is completed before customer data or production access is granted. A logo on a website is not due diligence.</w:t>
            </w:r>
          </w:p>
        </w:tc>
        <w:tc>
          <w:tcPr>
            <w:tcW w:type="dxa" w:w="2700"/>
          </w:tcPr>
          <w:p>
            <w:r/>
            <w:r>
              <w:rPr>
                <w:b w:val="0"/>
                <w:color w:val="1F2328"/>
                <w:sz w:val="18"/>
              </w:rPr>
              <w:t>New or changed security-relevant suppliers.</w:t>
            </w:r>
          </w:p>
        </w:tc>
        <w:tc>
          <w:tcPr>
            <w:tcW w:type="dxa" w:w="1417"/>
          </w:tcPr>
          <w:p>
            <w:r/>
            <w:r>
              <w:rPr>
                <w:b w:val="0"/>
                <w:color w:val="1F2328"/>
                <w:sz w:val="18"/>
              </w:rPr>
              <w:t>Supplier Manager</w:t>
            </w:r>
          </w:p>
        </w:tc>
        <w:tc>
          <w:tcPr>
            <w:tcW w:type="dxa" w:w="2130"/>
          </w:tcPr>
          <w:p>
            <w:r/>
            <w:r>
              <w:rPr>
                <w:b w:val="0"/>
                <w:color w:val="1F2328"/>
                <w:sz w:val="18"/>
              </w:rPr>
              <w:t>Expected: due-diligence record cited from SINV. No observation is supplied.</w:t>
            </w:r>
          </w:p>
        </w:tc>
      </w:tr>
    </w:tbl>
    <w:p>
      <w:pPr>
        <w:spacing w:before="0" w:after="120"/>
      </w:pPr>
    </w:p>
    <w:p>
      <w:pPr>
        <w:pStyle w:val="974"/>
        <w:outlineLvl w:val="1"/>
      </w:pPr>
      <w:bookmarkStart w:id="12" w:name="_TocRAM008"/>
      <w:r>
        <w:t>Contractual requirements</w:t>
      </w:r>
      <w:bookmarkEnd w:id="12"/>
    </w:p>
    <w:p>
      <w:r>
        <w:rPr>
          <w:b w:val="0"/>
        </w:rPr>
        <w:t>Read SRP-CTR-001 as the classified Arcfield rule for this topic. Capability or presence is not enforcement.</w:t>
      </w:r>
    </w:p>
    <w:tbl>
      <w:tblPr>
        <w:tblStyle w:val="1033"/>
        <w:tblW w:type="dxa" w:w="10078"/>
        <w:jc w:val="left"/>
        <w:tblLayout w:type="fixed"/>
        <w:tblLook w:firstColumn="1" w:firstRow="1" w:lastColumn="0" w:lastRow="0" w:noHBand="0" w:noVBand="1" w:val="04A0"/>
      </w:tblPr>
      <w:tblGrid>
        <w:gridCol w:w="1819"/>
        <w:gridCol w:w="2662"/>
        <w:gridCol w:w="2100"/>
        <w:gridCol w:w="1397"/>
        <w:gridCol w:w="2100"/>
      </w:tblGrid>
      <w:tr>
        <w:trPr>
          <w:tblHeader/>
          <w:cantSplit/>
        </w:trPr>
        <w:tc>
          <w:tcPr>
            <w:tcW w:type="dxa" w:w="1819"/>
            <w:shd w:fill="F7F9FC"/>
          </w:tcPr>
          <w:p>
            <w:r/>
            <w:r>
              <w:rPr>
                <w:b/>
                <w:color w:val="1F6FEB"/>
                <w:sz w:val="18"/>
              </w:rPr>
              <w:t>Rule ID</w:t>
            </w:r>
          </w:p>
        </w:tc>
        <w:tc>
          <w:tcPr>
            <w:tcW w:type="dxa" w:w="2662"/>
            <w:shd w:fill="F7F9FC"/>
          </w:tcPr>
          <w:p>
            <w:r/>
            <w:r>
              <w:rPr>
                <w:b/>
                <w:color w:val="1F6FEB"/>
                <w:sz w:val="18"/>
              </w:rPr>
              <w:t>Statement</w:t>
            </w:r>
          </w:p>
        </w:tc>
        <w:tc>
          <w:tcPr>
            <w:tcW w:type="dxa" w:w="2100"/>
            <w:shd w:fill="F7F9FC"/>
          </w:tcPr>
          <w:p>
            <w:r/>
            <w:r>
              <w:rPr>
                <w:b/>
                <w:color w:val="1F6FEB"/>
                <w:sz w:val="18"/>
              </w:rPr>
              <w:t>Scope</w:t>
            </w:r>
          </w:p>
        </w:tc>
        <w:tc>
          <w:tcPr>
            <w:tcW w:type="dxa" w:w="1397"/>
            <w:shd w:fill="F7F9FC"/>
          </w:tcPr>
          <w:p>
            <w:r/>
            <w:r>
              <w:rPr>
                <w:b/>
                <w:color w:val="1F6FEB"/>
                <w:sz w:val="18"/>
              </w:rPr>
              <w:t>Owner</w:t>
            </w:r>
          </w:p>
        </w:tc>
        <w:tc>
          <w:tcPr>
            <w:tcW w:type="dxa" w:w="2100"/>
            <w:shd w:fill="F7F9FC"/>
          </w:tcPr>
          <w:p>
            <w:r/>
            <w:r>
              <w:rPr>
                <w:b/>
                <w:color w:val="1F6FEB"/>
                <w:sz w:val="18"/>
              </w:rPr>
              <w:t>Evidence expectation</w:t>
            </w:r>
          </w:p>
        </w:tc>
      </w:tr>
      <w:tr>
        <w:trPr>
          <w:cantSplit/>
        </w:trPr>
        <w:tc>
          <w:tcPr>
            <w:tcW w:type="dxa" w:w="1819"/>
          </w:tcPr>
          <w:p>
            <w:r/>
            <w:r>
              <w:rPr>
                <w:b w:val="0"/>
                <w:color w:val="1F2328"/>
                <w:sz w:val="18"/>
              </w:rPr>
              <w:t>SRP-CTR-001</w:t>
            </w:r>
          </w:p>
        </w:tc>
        <w:tc>
          <w:tcPr>
            <w:tcW w:type="dxa" w:w="2662"/>
          </w:tcPr>
          <w:p>
            <w:r/>
            <w:r>
              <w:rPr>
                <w:b w:val="0"/>
                <w:color w:val="1F2328"/>
                <w:sz w:val="18"/>
              </w:rPr>
              <w:t>Contracts for security-relevant suppliers name confidentiality, incident notice, subprocessors and exit assistance. A click-through that is silent on incidents is not sufficient for production customer data.</w:t>
            </w:r>
          </w:p>
        </w:tc>
        <w:tc>
          <w:tcPr>
            <w:tcW w:type="dxa" w:w="2100"/>
          </w:tcPr>
          <w:p>
            <w:r/>
            <w:r>
              <w:rPr>
                <w:b w:val="0"/>
                <w:color w:val="1F2328"/>
                <w:sz w:val="18"/>
              </w:rPr>
              <w:t>Suppliers with production or customer-data access.</w:t>
            </w:r>
          </w:p>
        </w:tc>
        <w:tc>
          <w:tcPr>
            <w:tcW w:type="dxa" w:w="1397"/>
          </w:tcPr>
          <w:p>
            <w:r/>
            <w:r>
              <w:rPr>
                <w:b w:val="0"/>
                <w:color w:val="1F2328"/>
                <w:sz w:val="18"/>
              </w:rPr>
              <w:t>Supplier Manager</w:t>
            </w:r>
          </w:p>
        </w:tc>
        <w:tc>
          <w:tcPr>
            <w:tcW w:type="dxa" w:w="2100"/>
          </w:tcPr>
          <w:p>
            <w:r/>
            <w:r>
              <w:rPr>
                <w:b w:val="0"/>
                <w:color w:val="1F2328"/>
                <w:sz w:val="18"/>
              </w:rPr>
              <w:t>Expected: contract clause record. This rule stays HUMAN_REVIEW. No observation is supplied.</w:t>
            </w:r>
          </w:p>
        </w:tc>
      </w:tr>
    </w:tbl>
    <w:p>
      <w:pPr>
        <w:spacing w:before="0" w:after="120"/>
      </w:pPr>
    </w:p>
    <w:p>
      <w:pPr>
        <w:pStyle w:val="974"/>
        <w:outlineLvl w:val="1"/>
      </w:pPr>
      <w:bookmarkStart w:id="13" w:name="_TocRAM009"/>
      <w:r>
        <w:t>Ongoing monitoring</w:t>
      </w:r>
      <w:bookmarkEnd w:id="13"/>
    </w:p>
    <w:p>
      <w:r>
        <w:rPr>
          <w:b w:val="0"/>
        </w:rPr>
        <w:t>Read SRP-MON-001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1576"/>
        <w:gridCol w:w="2912"/>
        <w:gridCol w:w="1864"/>
        <w:gridCol w:w="1864"/>
      </w:tblGrid>
      <w:tr>
        <w:trPr>
          <w:tblHeader/>
          <w:cantSplit/>
        </w:trPr>
        <w:tc>
          <w:tcPr>
            <w:tcW w:type="dxa" w:w="1864"/>
            <w:shd w:fill="F7F9FC"/>
          </w:tcPr>
          <w:p>
            <w:r/>
            <w:r>
              <w:rPr>
                <w:b/>
                <w:color w:val="1F6FEB"/>
                <w:sz w:val="18"/>
              </w:rPr>
              <w:t>Rule ID</w:t>
            </w:r>
          </w:p>
        </w:tc>
        <w:tc>
          <w:tcPr>
            <w:tcW w:type="dxa" w:w="1576"/>
            <w:shd w:fill="F7F9FC"/>
          </w:tcPr>
          <w:p>
            <w:r/>
            <w:r>
              <w:rPr>
                <w:b/>
                <w:color w:val="1F6FEB"/>
                <w:sz w:val="18"/>
              </w:rPr>
              <w:t>Statement</w:t>
            </w:r>
          </w:p>
        </w:tc>
        <w:tc>
          <w:tcPr>
            <w:tcW w:type="dxa" w:w="2912"/>
            <w:shd w:fill="F7F9FC"/>
          </w:tcPr>
          <w:p>
            <w:r/>
            <w:r>
              <w:rPr>
                <w:b/>
                <w:color w:val="1F6FEB"/>
                <w:sz w:val="18"/>
              </w:rPr>
              <w:t>Scope</w:t>
            </w:r>
          </w:p>
        </w:tc>
        <w:tc>
          <w:tcPr>
            <w:tcW w:type="dxa" w:w="1864"/>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864"/>
          </w:tcPr>
          <w:p>
            <w:r/>
            <w:r>
              <w:rPr>
                <w:b w:val="0"/>
                <w:color w:val="1F2328"/>
                <w:sz w:val="18"/>
              </w:rPr>
              <w:t>SRP-MON-001</w:t>
            </w:r>
          </w:p>
        </w:tc>
        <w:tc>
          <w:tcPr>
            <w:tcW w:type="dxa" w:w="1576"/>
          </w:tcPr>
          <w:p>
            <w:r/>
            <w:r>
              <w:rPr>
                <w:b w:val="0"/>
                <w:color w:val="1F2328"/>
                <w:sz w:val="18"/>
              </w:rPr>
              <w:t>Tier-one suppliers are reviewed at least annually, or after a material incident or ownership change. Silence is not a review.</w:t>
            </w:r>
          </w:p>
        </w:tc>
        <w:tc>
          <w:tcPr>
            <w:tcW w:type="dxa" w:w="2912"/>
          </w:tcPr>
          <w:p>
            <w:r/>
            <w:r>
              <w:rPr>
                <w:b w:val="0"/>
                <w:color w:val="1F2328"/>
                <w:sz w:val="18"/>
              </w:rPr>
              <w:t>Tier-one suppliers in SINV.</w:t>
            </w:r>
          </w:p>
        </w:tc>
        <w:tc>
          <w:tcPr>
            <w:tcW w:type="dxa" w:w="1864"/>
          </w:tcPr>
          <w:p>
            <w:r/>
            <w:r>
              <w:rPr>
                <w:b w:val="0"/>
                <w:color w:val="1F2328"/>
                <w:sz w:val="18"/>
              </w:rPr>
              <w:t>Supplier Manager</w:t>
            </w:r>
          </w:p>
        </w:tc>
        <w:tc>
          <w:tcPr>
            <w:tcW w:type="dxa" w:w="1864"/>
          </w:tcPr>
          <w:p>
            <w:r/>
            <w:r>
              <w:rPr>
                <w:b w:val="0"/>
                <w:color w:val="1F2328"/>
                <w:sz w:val="18"/>
              </w:rPr>
              <w:t>Expected: review date on the SINV row. No observation is supplied.</w:t>
            </w:r>
          </w:p>
        </w:tc>
      </w:tr>
    </w:tbl>
    <w:p>
      <w:pPr>
        <w:spacing w:before="0" w:after="120"/>
      </w:pPr>
    </w:p>
    <w:p>
      <w:pPr>
        <w:pStyle w:val="974"/>
        <w:outlineLvl w:val="1"/>
      </w:pPr>
      <w:bookmarkStart w:id="14" w:name="_TocRAM010"/>
      <w:r>
        <w:t>Supplier incidents, changes and exit</w:t>
      </w:r>
      <w:bookmarkEnd w:id="14"/>
    </w:p>
    <w:p>
      <w:r>
        <w:rPr>
          <w:b w:val="0"/>
        </w:rPr>
        <w:t>Read SRP-EXT-001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1864"/>
        <w:gridCol w:w="3052"/>
        <w:gridCol w:w="1436"/>
        <w:gridCol w:w="1864"/>
      </w:tblGrid>
      <w:tr>
        <w:trPr>
          <w:tblHeader/>
          <w:cantSplit/>
        </w:trPr>
        <w:tc>
          <w:tcPr>
            <w:tcW w:type="dxa" w:w="1864"/>
            <w:shd w:fill="F7F9FC"/>
          </w:tcPr>
          <w:p>
            <w:r/>
            <w:r>
              <w:rPr>
                <w:b/>
                <w:color w:val="1F6FEB"/>
                <w:sz w:val="18"/>
              </w:rPr>
              <w:t>Rule ID</w:t>
            </w:r>
          </w:p>
        </w:tc>
        <w:tc>
          <w:tcPr>
            <w:tcW w:type="dxa" w:w="1864"/>
            <w:shd w:fill="F7F9FC"/>
          </w:tcPr>
          <w:p>
            <w:r/>
            <w:r>
              <w:rPr>
                <w:b/>
                <w:color w:val="1F6FEB"/>
                <w:sz w:val="18"/>
              </w:rPr>
              <w:t>Statement</w:t>
            </w:r>
          </w:p>
        </w:tc>
        <w:tc>
          <w:tcPr>
            <w:tcW w:type="dxa" w:w="3052"/>
            <w:shd w:fill="F7F9FC"/>
          </w:tcPr>
          <w:p>
            <w:r/>
            <w:r>
              <w:rPr>
                <w:b/>
                <w:color w:val="1F6FEB"/>
                <w:sz w:val="18"/>
              </w:rPr>
              <w:t>Scope</w:t>
            </w:r>
          </w:p>
        </w:tc>
        <w:tc>
          <w:tcPr>
            <w:tcW w:type="dxa" w:w="1436"/>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864"/>
          </w:tcPr>
          <w:p>
            <w:r/>
            <w:r>
              <w:rPr>
                <w:b w:val="0"/>
                <w:color w:val="1F2328"/>
                <w:sz w:val="18"/>
              </w:rPr>
              <w:t>SRP-EXT-001</w:t>
            </w:r>
          </w:p>
        </w:tc>
        <w:tc>
          <w:tcPr>
            <w:tcW w:type="dxa" w:w="1864"/>
          </w:tcPr>
          <w:p>
            <w:r/>
            <w:r>
              <w:rPr>
                <w:b w:val="0"/>
                <w:color w:val="1F2328"/>
                <w:sz w:val="18"/>
              </w:rPr>
              <w:t>Supplier incidents that may affect Arcfield Platform are reported under IMP. Exit or replacement has a recorded plan before dependence becomes critical. An expired contract is not an exit plan.</w:t>
            </w:r>
          </w:p>
        </w:tc>
        <w:tc>
          <w:tcPr>
            <w:tcW w:type="dxa" w:w="3052"/>
          </w:tcPr>
          <w:p>
            <w:r/>
            <w:r>
              <w:rPr>
                <w:b w:val="0"/>
                <w:color w:val="1F2328"/>
                <w:sz w:val="18"/>
              </w:rPr>
              <w:t>Security-relevant suppliers.</w:t>
            </w:r>
          </w:p>
        </w:tc>
        <w:tc>
          <w:tcPr>
            <w:tcW w:type="dxa" w:w="1436"/>
          </w:tcPr>
          <w:p>
            <w:r/>
            <w:r>
              <w:rPr>
                <w:b w:val="0"/>
                <w:color w:val="1F2328"/>
                <w:sz w:val="18"/>
              </w:rPr>
              <w:t>Supplier Manager</w:t>
            </w:r>
          </w:p>
        </w:tc>
        <w:tc>
          <w:tcPr>
            <w:tcW w:type="dxa" w:w="1864"/>
          </w:tcPr>
          <w:p>
            <w:r/>
            <w:r>
              <w:rPr>
                <w:b w:val="0"/>
                <w:color w:val="1F2328"/>
                <w:sz w:val="18"/>
              </w:rPr>
              <w:t>Expected: incident link or exit note. No observation is supplied.</w:t>
            </w:r>
          </w:p>
        </w:tc>
      </w:tr>
    </w:tbl>
    <w:p>
      <w:pPr>
        <w:spacing w:before="0" w:after="120"/>
      </w:pPr>
    </w:p>
    <w:p>
      <w:pPr>
        <w:pStyle w:val="974"/>
        <w:outlineLvl w:val="1"/>
      </w:pPr>
      <w:bookmarkStart w:id="15" w:name="_TocRAM011"/>
      <w:r>
        <w:t>Evidence expectations</w:t>
      </w:r>
      <w:bookmarkEnd w:id="15"/>
    </w:p>
    <w:p>
      <w:r>
        <w:rPr>
          <w:b w:val="0"/>
        </w:rPr>
        <w:t>Use this table to see what a named evidence ID can prove. It is not a log of collected observations.</w:t>
      </w:r>
    </w:p>
    <w:tbl>
      <w:tblPr>
        <w:tblStyle w:val="1033"/>
        <w:tblW w:type="dxa" w:w="10080"/>
        <w:jc w:val="left"/>
        <w:tblLayout w:type="fixed"/>
        <w:tblLook w:firstColumn="1" w:firstRow="1" w:lastColumn="0" w:lastRow="0" w:noHBand="0" w:noVBand="1" w:val="04A0"/>
      </w:tblPr>
      <w:tblGrid>
        <w:gridCol w:w="1720"/>
        <w:gridCol w:w="2008"/>
        <w:gridCol w:w="2480"/>
        <w:gridCol w:w="1864"/>
        <w:gridCol w:w="2008"/>
      </w:tblGrid>
      <w:tr>
        <w:trPr>
          <w:tblHeader/>
          <w:cantSplit/>
        </w:trPr>
        <w:tc>
          <w:tcPr>
            <w:tcW w:type="dxa" w:w="1720"/>
            <w:shd w:fill="F7F9FC"/>
          </w:tcPr>
          <w:p>
            <w:r/>
            <w:r>
              <w:rPr>
                <w:b/>
                <w:color w:val="1F6FEB"/>
                <w:sz w:val="18"/>
              </w:rPr>
              <w:t>Rule ID</w:t>
            </w:r>
          </w:p>
        </w:tc>
        <w:tc>
          <w:tcPr>
            <w:tcW w:type="dxa" w:w="2008"/>
            <w:shd w:fill="F7F9FC"/>
          </w:tcPr>
          <w:p>
            <w:r/>
            <w:r>
              <w:rPr>
                <w:b/>
                <w:color w:val="1F6FEB"/>
                <w:sz w:val="18"/>
              </w:rPr>
              <w:t>Statement</w:t>
            </w:r>
          </w:p>
        </w:tc>
        <w:tc>
          <w:tcPr>
            <w:tcW w:type="dxa" w:w="2480"/>
            <w:shd w:fill="F7F9FC"/>
          </w:tcPr>
          <w:p>
            <w:r/>
            <w:r>
              <w:rPr>
                <w:b/>
                <w:color w:val="1F6FEB"/>
                <w:sz w:val="18"/>
              </w:rPr>
              <w:t>Scope</w:t>
            </w:r>
          </w:p>
        </w:tc>
        <w:tc>
          <w:tcPr>
            <w:tcW w:type="dxa" w:w="1864"/>
            <w:shd w:fill="F7F9FC"/>
          </w:tcPr>
          <w:p>
            <w:r/>
            <w:r>
              <w:rPr>
                <w:b/>
                <w:color w:val="1F6FEB"/>
                <w:sz w:val="18"/>
              </w:rPr>
              <w:t>Owner</w:t>
            </w:r>
          </w:p>
        </w:tc>
        <w:tc>
          <w:tcPr>
            <w:tcW w:type="dxa" w:w="2008"/>
            <w:shd w:fill="F7F9FC"/>
          </w:tcPr>
          <w:p>
            <w:r/>
            <w:r>
              <w:rPr>
                <w:b/>
                <w:color w:val="1F6FEB"/>
                <w:sz w:val="18"/>
              </w:rPr>
              <w:t>Evidence expectation</w:t>
            </w:r>
          </w:p>
        </w:tc>
      </w:tr>
      <w:tr>
        <w:trPr>
          <w:cantSplit/>
        </w:trPr>
        <w:tc>
          <w:tcPr>
            <w:tcW w:type="dxa" w:w="1720"/>
          </w:tcPr>
          <w:p>
            <w:r/>
            <w:r>
              <w:rPr>
                <w:b w:val="0"/>
                <w:color w:val="1F2328"/>
                <w:sz w:val="18"/>
              </w:rPr>
              <w:t>SRP-EV-001</w:t>
            </w:r>
          </w:p>
        </w:tc>
        <w:tc>
          <w:tcPr>
            <w:tcW w:type="dxa" w:w="2008"/>
          </w:tcPr>
          <w:p>
            <w:r/>
            <w:r>
              <w:rPr>
                <w:b w:val="0"/>
                <w:color w:val="1F2328"/>
                <w:sz w:val="18"/>
              </w:rPr>
              <w:t>Each rule above states an evidence expectation. An identifier without a bound dataset is not collected evidence.</w:t>
            </w:r>
          </w:p>
        </w:tc>
        <w:tc>
          <w:tcPr>
            <w:tcW w:type="dxa" w:w="2480"/>
          </w:tcPr>
          <w:p>
            <w:r/>
            <w:r>
              <w:rPr>
                <w:b w:val="0"/>
                <w:color w:val="1F2328"/>
                <w:sz w:val="18"/>
              </w:rPr>
              <w:t>All SRP rules in this file.</w:t>
            </w:r>
          </w:p>
        </w:tc>
        <w:tc>
          <w:tcPr>
            <w:tcW w:type="dxa" w:w="1864"/>
          </w:tcPr>
          <w:p>
            <w:r/>
            <w:r>
              <w:rPr>
                <w:b w:val="0"/>
                <w:color w:val="1F2328"/>
                <w:sz w:val="18"/>
              </w:rPr>
              <w:t>Supplier Manager</w:t>
            </w:r>
          </w:p>
        </w:tc>
        <w:tc>
          <w:tcPr>
            <w:tcW w:type="dxa" w:w="2008"/>
          </w:tcPr>
          <w:p>
            <w:r/>
            <w:r>
              <w:rPr>
                <w:b w:val="0"/>
                <w:color w:val="1F2328"/>
                <w:sz w:val="18"/>
              </w:rPr>
              <w:t>Expected evidence reference; no evidence supplied. Do not render this row as an observation.</w:t>
            </w:r>
          </w:p>
        </w:tc>
      </w:tr>
    </w:tbl>
    <w:p>
      <w:pPr>
        <w:spacing w:before="0" w:after="120"/>
      </w:pPr>
    </w:p>
    <w:p>
      <w:pPr>
        <w:pStyle w:val="973"/>
        <w:outlineLvl w:val="0"/>
      </w:pPr>
      <w:bookmarkStart w:id="16" w:name="_TocRAM012"/>
      <w:bookmarkStart w:id="3" w:name="ref_evidence_and_records"/>
      <w:r>
        <w:t>Evidence and records</w:t>
      </w:r>
      <w:bookmarkEnd w:id="3"/>
      <w:bookmarkEnd w:id="16"/>
    </w:p>
    <w:p>
      <w:r>
        <w:rPr>
          <w:b w:val="0"/>
        </w:rPr>
        <w:t>These companions hold live records. This policy states what evidence it needs; it does not ship observations. An evidence ID without a dataset is an expectation. The Owner on the cover is accountable for those live records when you adopt the file.</w:t>
      </w:r>
    </w:p>
    <w:p>
      <w:pPr>
        <w:pStyle w:val="1006"/>
        <w:ind w:left="360" w:hanging="259"/>
        <w:numPr>
          <w:ilvl w:val="0"/>
          <w:numId w:val="12"/>
        </w:numPr>
      </w:pPr>
      <w:hyperlink r:id="rId19"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20"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21" w:history="1">
        <w:r>
          <w:rPr>
            <w:color w:val="0563C1"/>
            <w:u w:val="single"/>
          </w:rPr>
          <w:t xml:space="preserve">Records Retention Schedule</w:t>
        </w:r>
      </w:hyperlink>
      <w:r>
        <w:rPr>
          <w:b w:val="0"/>
        </w:rPr>
        <w:t xml:space="preserve"> — Retention rules for ISMS, security, privacy, audit and operational records, with owner, period, disposal method and evidence.</w:t>
      </w:r>
    </w:p>
    <w:p>
      <w:pPr>
        <w:pStyle w:val="973"/>
        <w:outlineLvl w:val="0"/>
      </w:pPr>
      <w:bookmarkStart w:id="17" w:name="_TocRAM013"/>
      <w:bookmarkStart w:id="4" w:name="ref_external_references"/>
      <w:r>
        <w:t>References</w:t>
      </w:r>
      <w:bookmarkEnd w:id="4"/>
      <w:bookmarkEnd w:id="17"/>
    </w:p>
    <w:p>
      <w:pPr>
        <w:pStyle w:val="974"/>
        <w:outlineLvl w:val="1"/>
      </w:pPr>
      <w:bookmarkStart w:id="18" w:name="_TocRAM014"/>
      <w:r>
        <w:t>Linked documents</w:t>
      </w:r>
      <w:bookmarkEnd w:id="18"/>
    </w:p>
    <w:p>
      <w:r>
        <w:rPr>
          <w:b w:val="0"/>
        </w:rPr>
        <w:t>Availability is by book pack. In-pack files may sit next to this document after unpack. Other-book files are named, not shipped in this Office pack.</w:t>
      </w:r>
    </w:p>
    <w:p>
      <w:pPr>
        <w:pStyle w:val="1006"/>
        <w:ind w:left="360" w:hanging="259"/>
        <w:numPr>
          <w:ilvl w:val="0"/>
          <w:numId w:val="13"/>
        </w:numPr>
      </w:pPr>
      <w:hyperlink r:id="rId16" w:history="1">
        <w:r>
          <w:rPr>
            <w:color w:val="0563C1"/>
            <w:u w:val="single"/>
          </w:rPr>
          <w:t xml:space="preserve">AI Asset Inventory</w:t>
        </w:r>
      </w:hyperlink>
      <w:r>
        <w:rPr>
          <w:b w:val="0"/>
        </w:rPr>
        <w:t xml:space="preserve"> — In-scope assets with owner, classification, hosting, personal-data flag and related risk In this book's pack when present.</w:t>
      </w:r>
    </w:p>
    <w:p>
      <w:pPr>
        <w:pStyle w:val="1006"/>
        <w:ind w:left="360" w:hanging="259"/>
        <w:numPr>
          <w:ilvl w:val="0"/>
          <w:numId w:val="13"/>
        </w:numPr>
      </w:pPr>
      <w:hyperlink r:id="rId17" w:history="1">
        <w:r>
          <w:rPr>
            <w:color w:val="0563C1"/>
            <w:u w:val="single"/>
          </w:rPr>
          <w:t xml:space="preserve">SINV Supplier Inventory</w:t>
        </w:r>
      </w:hyperlink>
      <w:r>
        <w:rPr>
          <w:b w:val="0"/>
        </w:rPr>
        <w:t xml:space="preserve"> — Security-relevant suppliers with tier, due diligence, contract controls, subprocessors and exit planning In this book's pack when present.</w:t>
      </w:r>
    </w:p>
    <w:p>
      <w:pPr>
        <w:pStyle w:val="1006"/>
        <w:ind w:left="360" w:hanging="259"/>
        <w:numPr>
          <w:ilvl w:val="0"/>
          <w:numId w:val="13"/>
        </w:numPr>
      </w:pPr>
      <w:hyperlink r:id="rId18" w:history="1">
        <w:r>
          <w:rPr>
            <w:color w:val="0563C1"/>
            <w:u w:val="single"/>
          </w:rPr>
          <w:t xml:space="preserve">UAI Users and Access Inventory</w:t>
        </w:r>
      </w:hyperlink>
      <w:r>
        <w:rPr>
          <w:b w:val="0"/>
        </w:rPr>
        <w:t xml:space="preserve"> — Users and accounts with access rights, privileged access, MFA status, reviews and revocations Another book's pack, not this Office pack.</w:t>
      </w:r>
    </w:p>
    <w:p>
      <w:pPr>
        <w:pStyle w:val="1006"/>
        <w:ind w:left="360" w:hanging="259"/>
        <w:numPr>
          <w:ilvl w:val="0"/>
          <w:numId w:val="13"/>
        </w:numPr>
      </w:pPr>
      <w:hyperlink r:id="rId19"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 Another book's pack, not this Office pack.</w:t>
      </w:r>
    </w:p>
    <w:p>
      <w:pPr>
        <w:pStyle w:val="1006"/>
        <w:ind w:left="360" w:hanging="259"/>
        <w:numPr>
          <w:ilvl w:val="0"/>
          <w:numId w:val="13"/>
        </w:numPr>
      </w:pPr>
      <w:hyperlink r:id="rId20" w:history="1">
        <w:r>
          <w:rPr>
            <w:color w:val="0563C1"/>
            <w:u w:val="single"/>
          </w:rPr>
          <w:t xml:space="preserve">DR Document Register</w:t>
        </w:r>
      </w:hyperlink>
      <w:r>
        <w:rPr>
          <w:b w:val="0"/>
        </w:rPr>
        <w:t xml:space="preserve"> — Controlled documented information: origin, owner, approver, version, review cycle, retention and location In this book's pack when present.</w:t>
      </w:r>
    </w:p>
    <w:p>
      <w:pPr>
        <w:pStyle w:val="1006"/>
        <w:ind w:left="360" w:hanging="259"/>
        <w:numPr>
          <w:ilvl w:val="0"/>
          <w:numId w:val="13"/>
        </w:numPr>
      </w:pPr>
      <w:hyperlink r:id="rId21" w:history="1">
        <w:r>
          <w:rPr>
            <w:color w:val="0563C1"/>
            <w:u w:val="single"/>
          </w:rPr>
          <w:t xml:space="preserve">RRS Records Retention Schedule</w:t>
        </w:r>
      </w:hyperlink>
      <w:r>
        <w:rPr>
          <w:b w:val="0"/>
        </w:rPr>
        <w:t xml:space="preserve"> — Retention rules for ISMS, security, privacy, audit and operational records, with owner, period, disposal method and evidence Another book's pack, not this Office pack.</w:t>
      </w:r>
    </w:p>
    <w:p>
      <w:pPr>
        <w:pStyle w:val="1006"/>
        <w:ind w:left="360" w:hanging="259"/>
        <w:numPr>
          <w:ilvl w:val="0"/>
          <w:numId w:val="13"/>
        </w:numPr>
      </w:pPr>
      <w:hyperlink r:id="rId22" w:history="1">
        <w:r>
          <w:rPr>
            <w:color w:val="0563C1"/>
            <w:u w:val="single"/>
          </w:rPr>
          <w:t xml:space="preserve">BRPROC Backup &amp; Recovery Procedure (Secure Engineering, Backup, Redundancy &amp; Data Resilience)</w:t>
        </w:r>
      </w:hyperlink>
      <w:r>
        <w:rPr>
          <w:b w:val="0"/>
        </w:rPr>
        <w:t xml:space="preserve"> — Interface record. Cite this Document Control version; do not copy this file into that record Another book's pack, not this Office pack.</w:t>
      </w:r>
    </w:p>
    <w:p>
      <w:pPr>
        <w:pStyle w:val="1006"/>
        <w:ind w:left="360" w:hanging="259"/>
        <w:numPr>
          <w:ilvl w:val="0"/>
          <w:numId w:val="13"/>
        </w:numPr>
      </w:pPr>
      <w:hyperlink r:id="rId23" w:history="1">
        <w:r>
          <w:rPr>
            <w:color w:val="0563C1"/>
            <w:u w:val="single"/>
          </w:rPr>
          <w:t xml:space="preserve">CSSAQ Critical Supplier Security Assessment Questionnaire (Building the ISMS, Supplier Security &amp; Third-party Risk Management)</w:t>
        </w:r>
      </w:hyperlink>
      <w:r>
        <w:rPr>
          <w:b w:val="0"/>
        </w:rPr>
        <w:t xml:space="preserve"> — Interface record. Cite this Document Control version; do not copy this file into that record In this book's pack when present.</w:t>
      </w:r>
    </w:p>
    <w:p>
      <w:pPr>
        <w:pStyle w:val="1006"/>
        <w:ind w:left="360" w:hanging="259"/>
        <w:numPr>
          <w:ilvl w:val="0"/>
          <w:numId w:val="13"/>
        </w:numPr>
      </w:pPr>
      <w:hyperlink r:id="rId24" w:history="1">
        <w:r>
          <w:rPr>
            <w:color w:val="0563C1"/>
            <w:u w:val="single"/>
          </w:rPr>
          <w:t xml:space="preserve">SSAQ Supplier Security Assessment Questionnaire (Building the ISMS, Supplier Security &amp; Third-party Risk Management)</w:t>
        </w:r>
      </w:hyperlink>
      <w:r>
        <w:rPr>
          <w:b w:val="0"/>
        </w:rPr>
        <w:t xml:space="preserve"> — Interface record. Cite this Document Control version; do not copy this file into that record In this book's pack when present.</w:t>
      </w:r>
    </w:p>
    <w:p>
      <w:pPr>
        <w:pStyle w:val="974"/>
        <w:outlineLvl w:val="1"/>
      </w:pPr>
      <w:bookmarkStart w:id="19" w:name="_TocRAM015"/>
      <w:r>
        <w:t>External references</w:t>
      </w:r>
      <w:bookmarkEnd w:id="19"/>
    </w:p>
    <w:p>
      <w:r>
        <w:rPr>
          <w:b w:val="0"/>
        </w:rPr>
        <w:t>Cite these ISO clauses and book chapters from workshops and audits.</w:t>
      </w:r>
    </w:p>
    <w:p>
      <w:pPr>
        <w:pStyle w:val="1006"/>
        <w:ind w:left="360" w:hanging="259"/>
        <w:numPr>
          <w:ilvl w:val="0"/>
          <w:numId w:val="14"/>
        </w:numPr>
      </w:pPr>
      <w:hyperlink r:id="rId25"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4"/>
        </w:numPr>
      </w:pPr>
      <w:hyperlink r:id="rId26" w:history="1">
        <w:r>
          <w:rPr>
            <w:color w:val="0563C1"/>
            <w:u w:val="single"/>
          </w:rPr>
          <w:t xml:space="preserve">Building the ISMS, Supplier Security &amp; Third-party Risk Management</w:t>
        </w:r>
      </w:hyperlink>
      <w:r>
        <w:rPr>
          <w:b w:val="0"/>
        </w:rPr>
        <w:t xml:space="preserve"> — Primary operating chapter for this companion artifact.</w:t>
      </w:r>
    </w:p>
    <w:p>
      <w:pPr>
        <w:pStyle w:val="1006"/>
        <w:ind w:left="360" w:hanging="259"/>
        <w:numPr>
          <w:ilvl w:val="0"/>
          <w:numId w:val="14"/>
        </w:numPr>
      </w:pPr>
      <w:hyperlink r:id="rId26" w:history="1">
        <w:r>
          <w:rPr>
            <w:color w:val="0563C1"/>
            <w:u w:val="single"/>
          </w:rPr>
          <w:t xml:space="preserve">Building the ISMS, Supplier Security &amp; Third-party Risk Management</w:t>
        </w:r>
      </w:hyperlink>
      <w:r>
        <w:rPr>
          <w:b w:val="0"/>
        </w:rPr>
        <w:t xml:space="preserve"> — Primary operating chapter for this companion artifact.</w:t>
      </w:r>
    </w:p>
    <w:p>
      <w:pPr>
        <w:pStyle w:val="1006"/>
        <w:ind w:left="360" w:hanging="259"/>
        <w:numPr>
          <w:ilvl w:val="0"/>
          <w:numId w:val="14"/>
        </w:numPr>
      </w:pPr>
      <w:hyperlink r:id="rId26" w:history="1">
        <w:r>
          <w:rPr>
            <w:color w:val="0563C1"/>
            <w:u w:val="single"/>
          </w:rPr>
          <w:t xml:space="preserve">Building the ISMS, Planning, Risk &amp; Objectives (Clause 6)</w:t>
        </w:r>
      </w:hyperlink>
      <w:r>
        <w:rPr>
          <w:b w:val="0"/>
        </w:rPr>
        <w:t xml:space="preserve"> — Documented information, review and version discipline.</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Supplier Relationships Policy (SRP)</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AI_Asset_Inventory.xlsx" TargetMode="External"/><Relationship Id="rId17" Type="http://schemas.openxmlformats.org/officeDocument/2006/relationships/hyperlink" Target="SINV_Supplier_Inventory.xlsx" TargetMode="External"/><Relationship Id="rId18" Type="http://schemas.openxmlformats.org/officeDocument/2006/relationships/hyperlink" Target="UAI_Users_and_Access_Inventory.xlsx" TargetMode="External"/><Relationship Id="rId19" Type="http://schemas.openxmlformats.org/officeDocument/2006/relationships/hyperlink" Target="MDR_Mandatory_Documents_and_Records_Register.xlsx" TargetMode="External"/><Relationship Id="rId20" Type="http://schemas.openxmlformats.org/officeDocument/2006/relationships/hyperlink" Target="DR_Document_Register.xlsx" TargetMode="External"/><Relationship Id="rId21" Type="http://schemas.openxmlformats.org/officeDocument/2006/relationships/hyperlink" Target="RRS_Records_Retention_Schedule_Register.xlsx" TargetMode="External"/><Relationship Id="rId22" Type="http://schemas.openxmlformats.org/officeDocument/2006/relationships/hyperlink" Target="BRPROC_Backup_and_Recovery_Procedure.docx" TargetMode="External"/><Relationship Id="rId23" Type="http://schemas.openxmlformats.org/officeDocument/2006/relationships/hyperlink" Target="CSSAQ_Critical_Supplier_Security_Assessment_Questionnaire_Form.docx" TargetMode="External"/><Relationship Id="rId24" Type="http://schemas.openxmlformats.org/officeDocument/2006/relationships/hyperlink" Target="SSAQ_Supplier_Security_Assessment_Questionnaire_Form.docx" TargetMode="External"/><Relationship Id="rId25" Type="http://schemas.openxmlformats.org/officeDocument/2006/relationships/hyperlink" Target="https://www.iso.org/standard/82875.html" TargetMode="External"/><Relationship Id="rId26"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Relationships Policy</dc:title>
  <dc:subject>Official ExportableProof Companion Artifact SRP</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Policy</cp:category>
</cp:coreProperties>
</file>