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Control Owner Statement of Applicability Validation Checklist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validates a Statement of Applicability entry from a control-owner perspective. It confirms that applicability, implementation status, evidence, risk linkage, exceptions, lifecycle linkage and final validation decision are consistent and audit-ready. This checklist tests whether the 11 September 2026 freeze is complete for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What this checklist is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Scope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Terms used here</w:t>
            </w:r>
            <w:r>
              <w:tab/>
            </w:r>
            <w:r>
              <w:fldChar w:fldCharType="begin"/>
              <w:instrText xml:space="preserve"> PAGEREF _TocRAM003 \h </w:instrText>
              <w:fldChar w:fldCharType="separate"/>
              <w:t xml:space="preserve"> </w:t>
              <w:fldChar w:fldCharType="end"/>
            </w:r>
          </w:hyperlink>
        </w:p>
        <w:p>
          <w:pPr>
            <w:pStyle w:val="957"/>
            <w:tabs>
              <w:tab w:val="right" w:leader="dot" w:pos="10080"/>
            </w:tabs>
          </w:pPr>
          <w:hyperlink w:anchor="_TocRAM004" w:history="1">
            <w:r>
              <w:rPr>
                <w:rStyle w:val="955"/>
              </w:rPr>
              <w:t xml:space="preserve">Validation context</w:t>
            </w:r>
            <w:r>
              <w:tab/>
            </w:r>
            <w:r>
              <w:fldChar w:fldCharType="begin"/>
              <w:instrText xml:space="preserve"> PAGEREF _TocRAM004 \h </w:instrText>
              <w:fldChar w:fldCharType="separate"/>
              <w:t xml:space="preserve"> </w:t>
              <w:fldChar w:fldCharType="end"/>
            </w:r>
          </w:hyperlink>
        </w:p>
        <w:p>
          <w:pPr>
            <w:pStyle w:val="957"/>
            <w:tabs>
              <w:tab w:val="right" w:leader="dot" w:pos="10080"/>
            </w:tabs>
          </w:pPr>
          <w:hyperlink w:anchor="_TocRAM005" w:history="1">
            <w:r>
              <w:rPr>
                <w:rStyle w:val="955"/>
              </w:rPr>
              <w:t xml:space="preserve">Validation criteria</w:t>
            </w:r>
            <w:r>
              <w:tab/>
            </w:r>
            <w:r>
              <w:fldChar w:fldCharType="begin"/>
              <w:instrText xml:space="preserve"> PAGEREF _TocRAM005 \h </w:instrText>
              <w:fldChar w:fldCharType="separate"/>
              <w:t xml:space="preserve"> </w:t>
              <w:fldChar w:fldCharType="end"/>
            </w:r>
          </w:hyperlink>
        </w:p>
        <w:p>
          <w:pPr>
            <w:pStyle w:val="957"/>
            <w:tabs>
              <w:tab w:val="right" w:leader="dot" w:pos="10080"/>
            </w:tabs>
          </w:pPr>
          <w:hyperlink w:anchor="_TocRAM006" w:history="1">
            <w:r>
              <w:rPr>
                <w:rStyle w:val="955"/>
              </w:rPr>
              <w:t xml:space="preserve">Validation checklist</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AOAVC-001</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AOAVC-002</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AOAVC-003</w:t>
            </w:r>
            <w:r>
              <w:tab/>
            </w:r>
            <w:r>
              <w:fldChar w:fldCharType="begin"/>
              <w:instrText xml:space="preserve"> PAGEREF _TocRAM009 \h </w:instrText>
              <w:fldChar w:fldCharType="separate"/>
              <w:t xml:space="preserve"> </w:t>
              <w:fldChar w:fldCharType="end"/>
            </w:r>
          </w:hyperlink>
        </w:p>
        <w:p>
          <w:pPr>
            <w:pStyle w:val="957"/>
            <w:tabs>
              <w:tab w:val="right" w:leader="dot" w:pos="10080"/>
            </w:tabs>
          </w:pPr>
          <w:hyperlink w:anchor="_TocRAM010" w:history="1">
            <w:r>
              <w:rPr>
                <w:rStyle w:val="955"/>
              </w:rPr>
              <w:t xml:space="preserve">Evidence reviewed</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Gaps and actions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SOAVC-GAP-001</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Exceptions</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SOAVC-EX-001</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Lifecycle linkage</w:t>
            </w:r>
            <w:r>
              <w:tab/>
            </w:r>
            <w:r>
              <w:fldChar w:fldCharType="begin"/>
              <w:instrText xml:space="preserve"> PAGEREF _TocRAM015 \h </w:instrText>
              <w:fldChar w:fldCharType="separate"/>
              <w:t xml:space="preserve"> </w:t>
              <w:fldChar w:fldCharType="end"/>
            </w:r>
          </w:hyperlink>
        </w:p>
        <w:p>
          <w:pPr>
            <w:pStyle w:val="957"/>
            <w:tabs>
              <w:tab w:val="right" w:leader="dot" w:pos="10080"/>
            </w:tabs>
          </w:pPr>
          <w:hyperlink w:anchor="_TocRAM016" w:history="1">
            <w:r>
              <w:rPr>
                <w:rStyle w:val="955"/>
              </w:rPr>
              <w:t xml:space="preserve">Validation decision</w:t>
            </w:r>
            <w:r>
              <w:tab/>
            </w:r>
            <w:r>
              <w:fldChar w:fldCharType="begin"/>
              <w:instrText xml:space="preserve"> PAGEREF _TocRAM016 \h </w:instrText>
              <w:fldChar w:fldCharType="separate"/>
              <w:t xml:space="preserve"> </w:t>
              <w:fldChar w:fldCharType="end"/>
            </w:r>
          </w:hyperlink>
        </w:p>
        <w:p>
          <w:pPr>
            <w:pStyle w:val="957"/>
            <w:tabs>
              <w:tab w:val="right" w:leader="dot" w:pos="10080"/>
            </w:tabs>
          </w:pPr>
          <w:hyperlink w:anchor="_TocRAM017" w:history="1">
            <w:r>
              <w:rPr>
                <w:rStyle w:val="955"/>
              </w:rPr>
              <w:t xml:space="preserve">References</w:t>
            </w:r>
            <w:r>
              <w:tab/>
            </w:r>
            <w:r>
              <w:fldChar w:fldCharType="begin"/>
              <w:instrText xml:space="preserve"> PAGEREF _TocRAM017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Treat this section as the operating instruction for the checklist owner. It defines the evidence standard and when Control Owner Statement of Applicability Validation Checklist cannot be closed.</w:t>
              <w:br/>
              <w:br/>
              <w:t>Book reference: Secure Engineering, Access Control &amp; Identity Management</w:t>
            </w:r>
          </w:p>
        </w:tc>
      </w:tr>
    </w:tbl>
    <w:p>
      <w:r>
        <w:br w:type="page"/>
      </w:r>
    </w:p>
    <w:p>
      <w:pPr>
        <w:pStyle w:val="973"/>
        <w:outlineLvl w:val="0"/>
      </w:pPr>
      <w:bookmarkStart w:id="11" w:name="_TocRAM001"/>
      <w:r>
        <w:t>What this checklist is</w:t>
      </w:r>
      <w:bookmarkEnd w:id="11"/>
    </w:p>
    <w:p>
      <w:r>
        <w:rPr>
          <w:b w:val="0"/>
        </w:rPr>
        <w:t>This document is Arcfield's Control Owner Statement of Applicability Validation Checklist. Provide auditable evidence for Control Owner Statement of Applicability Validation Checklist. It is not a methodology essay or the governing policy. This checklist applies to the Arcfield Platform (B2B SaaS (Software as a Service) for regulated fintech and health customers): production, customer data, CI/CD (Continuous Integration / Continuous Delivery), privileged access and critical suppliers. Neighbouring records (AOAVC, AI (Artificial Intelligence), SOA) cite this Document Control version. Do not copy these paragraphs into them.</w:t>
      </w:r>
    </w:p>
    <w:p>
      <w:pPr>
        <w:pStyle w:val="974"/>
        <w:outlineLvl w:val="1"/>
      </w:pPr>
      <w:bookmarkStart w:id="12" w:name="_TocRAM002"/>
      <w:r>
        <w:t>Scope</w:t>
      </w:r>
      <w:bookmarkEnd w:id="12"/>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file</w:t>
            </w:r>
          </w:p>
        </w:tc>
        <w:tc>
          <w:tcPr>
            <w:tcW w:type="dxa" w:w="7056"/>
            <w:shd w:fill="F7F9FC"/>
          </w:tcPr>
          <w:p>
            <w:r/>
            <w:r>
              <w:rPr>
                <w:b/>
                <w:color w:val="1F6FEB"/>
                <w:sz w:val="18"/>
              </w:rPr>
              <w:t>Not in this file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AOAVC, AI, SOA.</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13" w:name="_TocRAM003"/>
      <w:r>
        <w:t>Terms used here</w:t>
      </w:r>
      <w:bookmarkEnd w:id="13"/>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Check ID</w:t>
            </w:r>
          </w:p>
        </w:tc>
        <w:tc>
          <w:tcPr>
            <w:tcW w:type="dxa" w:w="7240"/>
          </w:tcPr>
          <w:p>
            <w:r/>
            <w:r>
              <w:rPr>
                <w:b w:val="0"/>
                <w:color w:val="1F2328"/>
                <w:sz w:val="18"/>
              </w:rPr>
              <w:t>The stable identifier for one check or question. Do not reuse an ID for a different question.</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3"/>
        <w:outlineLvl w:val="0"/>
      </w:pPr>
      <w:bookmarkStart w:id="14" w:name="_TocRAM004"/>
      <w:bookmarkStart w:id="2" w:name="ref_validation_context"/>
      <w:r>
        <w:t>Validation context</w:t>
      </w:r>
      <w:bookmarkEnd w:id="2"/>
      <w:bookmarkEnd w:id="14"/>
    </w:p>
    <w:p>
      <w:pPr>
        <w:spacing w:before="40" w:after="0"/>
      </w:pPr>
      <w:r>
        <w:rPr>
          <w:color w:val="5B5B5B"/>
          <w:sz w:val="18"/>
        </w:rPr>
        <w:t>Object / record validated</w:t>
      </w:r>
    </w:p>
    <w:p>
      <w:pPr>
        <w:spacing w:before="0" w:after="200"/>
        <w:shd w:val="clear" w:fill="F4F6F8"/>
        <w:pBdr>
          <w:bottom w:val="single" w:sz="8" w:space="1" w:color="8A8A8A"/>
        </w:pBdr>
      </w:pPr>
      <w:r>
        <w:rPr>
          <w:b w:val="0"/>
          <w:color w:val="222222"/>
        </w:rPr>
        <w:t>SoA (Statement of Applicability) entry A.5.15 Access control</w:t>
      </w:r>
    </w:p>
    <w:p>
      <w:pPr>
        <w:spacing w:before="40" w:after="0"/>
      </w:pPr>
      <w:r>
        <w:rPr>
          <w:color w:val="5B5B5B"/>
          <w:sz w:val="18"/>
        </w:rPr>
        <w:t>Owner</w:t>
      </w:r>
    </w:p>
    <w:p>
      <w:pPr>
        <w:spacing w:before="0" w:after="200"/>
        <w:shd w:val="clear" w:fill="F4F6F8"/>
        <w:pBdr>
          <w:bottom w:val="single" w:sz="8" w:space="1" w:color="8A8A8A"/>
        </w:pBdr>
      </w:pPr>
      <w:r>
        <w:rPr>
          <w:b w:val="0"/>
          <w:color w:val="222222"/>
        </w:rPr>
        <w:t>Control Owner</w:t>
      </w:r>
    </w:p>
    <w:p>
      <w:pPr>
        <w:spacing w:before="40" w:after="0"/>
      </w:pPr>
      <w:r>
        <w:rPr>
          <w:color w:val="5B5B5B"/>
          <w:sz w:val="18"/>
        </w:rPr>
        <w:t>Validator</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Validation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Scope</w:t>
      </w:r>
    </w:p>
    <w:p>
      <w:pPr>
        <w:spacing w:before="0" w:after="200"/>
        <w:shd w:val="clear" w:fill="F4F6F8"/>
        <w:pBdr>
          <w:bottom w:val="single" w:sz="8" w:space="1" w:color="8A8A8A"/>
        </w:pBdr>
      </w:pPr>
      <w:r>
        <w:rPr>
          <w:b w:val="0"/>
          <w:color w:val="222222"/>
        </w:rPr>
        <w:t>Arcfield ISMS SoA v1.4</w:t>
      </w:r>
    </w:p>
    <w:p>
      <w:pPr>
        <w:spacing w:before="40" w:after="0"/>
      </w:pPr>
      <w:r>
        <w:rPr>
          <w:color w:val="5B5B5B"/>
          <w:sz w:val="18"/>
        </w:rPr>
        <w:t>Related risk / control</w:t>
      </w:r>
    </w:p>
    <w:p>
      <w:pPr>
        <w:spacing w:before="0" w:after="200"/>
        <w:shd w:val="clear" w:fill="F4F6F8"/>
        <w:pBdr>
          <w:bottom w:val="single" w:sz="8" w:space="1" w:color="8A8A8A"/>
        </w:pBdr>
      </w:pPr>
      <w:r>
        <w:rPr>
          <w:b w:val="0"/>
          <w:color w:val="222222"/>
        </w:rPr>
        <w:t>RISK-2026-014 / A.5.15</w:t>
      </w:r>
    </w:p>
    <w:p>
      <w:pPr>
        <w:spacing w:before="40" w:after="0"/>
      </w:pPr>
      <w:r>
        <w:rPr>
          <w:color w:val="5B5B5B"/>
          <w:sz w:val="18"/>
        </w:rPr>
        <w:t>Review trigger</w:t>
      </w:r>
    </w:p>
    <w:p>
      <w:pPr>
        <w:spacing w:before="0" w:after="200"/>
        <w:shd w:val="clear" w:fill="F4F6F8"/>
        <w:pBdr>
          <w:bottom w:val="single" w:sz="8" w:space="1" w:color="8A8A8A"/>
        </w:pBdr>
      </w:pPr>
      <w:r>
        <w:rPr>
          <w:b w:val="0"/>
          <w:color w:val="222222"/>
        </w:rPr>
        <w:t>SoA review before internal audit</w:t>
      </w:r>
    </w:p>
    <w:p>
      <w:pPr>
        <w:spacing w:before="40" w:after="0"/>
      </w:pPr>
      <w:r>
        <w:rPr>
          <w:color w:val="5B5B5B"/>
          <w:sz w:val="18"/>
        </w:rPr>
        <w:t>Evidence pack reference</w:t>
      </w:r>
    </w:p>
    <w:p>
      <w:pPr>
        <w:spacing w:before="0" w:after="200"/>
        <w:shd w:val="clear" w:fill="F4F6F8"/>
        <w:pBdr>
          <w:bottom w:val="single" w:sz="8" w:space="1" w:color="8A8A8A"/>
        </w:pBdr>
      </w:pPr>
      <w:r>
        <w:rPr>
          <w:b w:val="0"/>
          <w:color w:val="222222"/>
        </w:rPr>
        <w:t>SOA-A515-2026-Q3</w:t>
      </w:r>
    </w:p>
    <w:p>
      <w:pPr>
        <w:pStyle w:val="973"/>
        <w:outlineLvl w:val="0"/>
      </w:pPr>
      <w:bookmarkStart w:id="15" w:name="_TocRAM005"/>
      <w:bookmarkStart w:id="3" w:name="ref_validation_criteria"/>
      <w:r>
        <w:t>Validation criteria</w:t>
      </w:r>
      <w:bookmarkEnd w:id="3"/>
      <w:bookmarkEnd w:id="15"/>
    </w:p>
    <w:p>
      <w:r>
        <w:rPr>
          <w:b w:val="0"/>
        </w:rPr>
        <w:t>Use this table or list as the working record. Name owners, systems and evidence so a second person can apply the same rule.</w:t>
      </w:r>
    </w:p>
    <w:p>
      <w:pPr>
        <w:spacing w:before="240" w:after="80"/>
      </w:pPr>
      <w:r>
        <w:rPr>
          <w:b/>
        </w:rPr>
        <w:t>Applicability decision is current and justified.</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Responsible role</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SOA-A.5.15-2026</w:t>
      </w:r>
    </w:p>
    <w:p>
      <w:pPr>
        <w:spacing w:before="40" w:after="0"/>
      </w:pPr>
      <w:r>
        <w:rPr>
          <w:color w:val="5B5B5B"/>
          <w:sz w:val="18"/>
        </w:rPr>
        <w:t>Expected evidence</w:t>
      </w:r>
    </w:p>
    <w:p>
      <w:pPr>
        <w:spacing w:before="0" w:after="200"/>
        <w:shd w:val="clear" w:fill="F4F6F8"/>
        <w:pBdr>
          <w:bottom w:val="single" w:sz="8" w:space="1" w:color="8A8A8A"/>
        </w:pBdr>
      </w:pPr>
      <w:r>
        <w:rPr>
          <w:b w:val="0"/>
          <w:color w:val="222222"/>
        </w:rPr>
        <w:t>SoA row with rationale</w:t>
      </w:r>
    </w:p>
    <w:p>
      <w:pPr>
        <w:spacing w:before="40" w:after="0"/>
      </w:pPr>
      <w:r>
        <w:rPr>
          <w:color w:val="5B5B5B"/>
          <w:sz w:val="18"/>
        </w:rPr>
        <w:t>Notes</w:t>
      </w:r>
    </w:p>
    <w:p>
      <w:pPr>
        <w:spacing w:before="0" w:after="200"/>
        <w:shd w:val="clear" w:fill="F4F6F8"/>
        <w:pBdr>
          <w:bottom w:val="single" w:sz="8" w:space="1" w:color="8A8A8A"/>
        </w:pBdr>
      </w:pPr>
      <w:r>
        <w:rPr>
          <w:b w:val="0"/>
          <w:color w:val="222222"/>
        </w:rPr>
        <w:t>Applicable due customer portal access risk.</w:t>
      </w:r>
    </w:p>
    <w:p>
      <w:pPr>
        <w:spacing w:before="240" w:after="80"/>
      </w:pPr>
      <w:r>
        <w:rPr>
          <w:b/>
        </w:rPr>
        <w:t>Control implementation status is supported by operating evidence.</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Partial</w:t>
      </w:r>
    </w:p>
    <w:p>
      <w:pPr>
        <w:spacing w:before="40" w:after="0"/>
      </w:pPr>
      <w:r>
        <w:rPr>
          <w:color w:val="5B5B5B"/>
          <w:sz w:val="18"/>
        </w:rPr>
        <w:t>Responsible role</w:t>
      </w:r>
    </w:p>
    <w:p>
      <w:pPr>
        <w:spacing w:before="0" w:after="200"/>
        <w:shd w:val="clear" w:fill="F4F6F8"/>
        <w:pBdr>
          <w:bottom w:val="single" w:sz="8" w:space="1" w:color="8A8A8A"/>
        </w:pBdr>
      </w:pPr>
      <w:r>
        <w:rPr>
          <w:b w:val="0"/>
          <w:color w:val="222222"/>
        </w:rPr>
        <w:t>Control Owner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ARA-2026-0829-004; ARR-2026-Q3</w:t>
      </w:r>
    </w:p>
    <w:p>
      <w:pPr>
        <w:spacing w:before="40" w:after="0"/>
      </w:pPr>
      <w:r>
        <w:rPr>
          <w:color w:val="5B5B5B"/>
          <w:sz w:val="18"/>
        </w:rPr>
        <w:t>Expected evidence</w:t>
      </w:r>
    </w:p>
    <w:p>
      <w:pPr>
        <w:spacing w:before="0" w:after="200"/>
        <w:shd w:val="clear" w:fill="F4F6F8"/>
        <w:pBdr>
          <w:bottom w:val="single" w:sz="8" w:space="1" w:color="8A8A8A"/>
        </w:pBdr>
      </w:pPr>
      <w:r>
        <w:rPr>
          <w:b w:val="0"/>
          <w:color w:val="222222"/>
        </w:rPr>
        <w:t>Access request and review records</w:t>
      </w:r>
    </w:p>
    <w:p>
      <w:pPr>
        <w:spacing w:before="40" w:after="0"/>
      </w:pPr>
      <w:r>
        <w:rPr>
          <w:color w:val="5B5B5B"/>
          <w:sz w:val="18"/>
        </w:rPr>
        <w:t>Notes</w:t>
      </w:r>
    </w:p>
    <w:p>
      <w:pPr>
        <w:spacing w:before="0" w:after="200"/>
        <w:shd w:val="clear" w:fill="F4F6F8"/>
        <w:pBdr>
          <w:bottom w:val="single" w:sz="8" w:space="1" w:color="8A8A8A"/>
        </w:pBdr>
      </w:pPr>
      <w:r>
        <w:rPr>
          <w:b w:val="0"/>
          <w:color w:val="222222"/>
        </w:rPr>
        <w:t>One exception remains open.</w:t>
      </w:r>
    </w:p>
    <w:p>
      <w:pPr>
        <w:spacing w:before="240" w:after="80"/>
      </w:pPr>
      <w:r>
        <w:rPr>
          <w:b/>
        </w:rPr>
        <w:t>Risk and treatment linkage is documented.</w:t>
      </w:r>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Responsible role</w:t>
      </w:r>
    </w:p>
    <w:p>
      <w:pPr>
        <w:spacing w:before="0" w:after="200"/>
        <w:shd w:val="clear" w:fill="F4F6F8"/>
        <w:pBdr>
          <w:bottom w:val="single" w:sz="8" w:space="1" w:color="8A8A8A"/>
        </w:pBdr>
      </w:pPr>
      <w:r>
        <w:rPr>
          <w:b w:val="0"/>
          <w:color w:val="222222"/>
        </w:rPr>
        <w:t>Risk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RR (Risk Register)-RISK-2026-014; RTP (Risk Treatment Plan)-ACCESS-2026-Q3</w:t>
      </w:r>
    </w:p>
    <w:p>
      <w:pPr>
        <w:spacing w:before="40" w:after="0"/>
      </w:pPr>
      <w:r>
        <w:rPr>
          <w:color w:val="5B5B5B"/>
          <w:sz w:val="18"/>
        </w:rPr>
        <w:t>Expected evidence</w:t>
      </w:r>
    </w:p>
    <w:p>
      <w:pPr>
        <w:spacing w:before="0" w:after="200"/>
        <w:shd w:val="clear" w:fill="F4F6F8"/>
        <w:pBdr>
          <w:bottom w:val="single" w:sz="8" w:space="1" w:color="8A8A8A"/>
        </w:pBdr>
      </w:pPr>
      <w:r>
        <w:rPr>
          <w:b w:val="0"/>
          <w:color w:val="222222"/>
        </w:rPr>
        <w:t>Risk register and treatment plan</w:t>
      </w:r>
    </w:p>
    <w:p>
      <w:pPr>
        <w:spacing w:before="40" w:after="0"/>
      </w:pPr>
      <w:r>
        <w:rPr>
          <w:color w:val="5B5B5B"/>
          <w:sz w:val="18"/>
        </w:rPr>
        <w:t>Notes</w:t>
      </w:r>
    </w:p>
    <w:p>
      <w:pPr>
        <w:spacing w:before="0" w:after="200"/>
        <w:shd w:val="clear" w:fill="F4F6F8"/>
        <w:pBdr>
          <w:bottom w:val="single" w:sz="8" w:space="1" w:color="8A8A8A"/>
        </w:pBdr>
      </w:pPr>
      <w:r>
        <w:rPr>
          <w:b w:val="0"/>
          <w:color w:val="222222"/>
        </w:rPr>
        <w:t>Traceability present.</w:t>
      </w:r>
    </w:p>
    <w:p>
      <w:pPr>
        <w:pStyle w:val="973"/>
        <w:outlineLvl w:val="0"/>
      </w:pPr>
      <w:bookmarkStart w:id="16" w:name="_TocRAM006"/>
      <w:bookmarkStart w:id="4" w:name="ref_validation_checklist"/>
      <w:r>
        <w:t>Validation checklist</w:t>
      </w:r>
      <w:bookmarkEnd w:id="4"/>
      <w:bookmarkEnd w:id="16"/>
    </w:p>
    <w:p>
      <w:r>
        <w:rPr>
          <w:b w:val="0"/>
        </w:rPr>
        <w:t>Use this table as the main validation audit trail with one row per performed asset-owner check.</w:t>
      </w:r>
    </w:p>
    <w:p>
      <w:pPr>
        <w:pStyle w:val="974"/>
        <w:outlineLvl w:val="1"/>
      </w:pPr>
      <w:bookmarkStart w:id="17" w:name="_TocRAM007"/>
      <w:r>
        <w:t>AOAVC-001</w:t>
      </w:r>
      <w:bookmarkEnd w:id="17"/>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Matches Asset Inventory.</w:t>
      </w:r>
    </w:p>
    <w:p>
      <w:pPr>
        <w:spacing w:before="40" w:after="0"/>
      </w:pPr>
      <w:r>
        <w:rPr>
          <w:color w:val="5B5B5B"/>
          <w:sz w:val="18"/>
        </w:rPr>
        <w:t>Area</w:t>
      </w:r>
    </w:p>
    <w:p>
      <w:pPr>
        <w:spacing w:before="0" w:after="200"/>
        <w:shd w:val="clear" w:fill="F4F6F8"/>
        <w:pBdr>
          <w:bottom w:val="single" w:sz="8" w:space="1" w:color="8A8A8A"/>
        </w:pBdr>
      </w:pPr>
      <w:r>
        <w:rPr>
          <w:b w:val="0"/>
          <w:color w:val="222222"/>
        </w:rPr>
        <w:t>Asset identity</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Asset ID AST-001, asset name Production platform, owner, custodian and lifecycle status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4"/>
        <w:outlineLvl w:val="1"/>
      </w:pPr>
      <w:bookmarkStart w:id="18" w:name="_TocRAM008"/>
      <w:r>
        <w:t>AOAVC-002</w:t>
      </w:r>
      <w:bookmarkEnd w:id="18"/>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Owner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CLASS-AST-001-2026-Q3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Confidentiality high, availability high.</w:t>
      </w:r>
    </w:p>
    <w:p>
      <w:pPr>
        <w:spacing w:before="40" w:after="0"/>
      </w:pPr>
      <w:r>
        <w:rPr>
          <w:color w:val="5B5B5B"/>
          <w:sz w:val="18"/>
        </w:rPr>
        <w:t>Area</w:t>
      </w:r>
    </w:p>
    <w:p>
      <w:pPr>
        <w:spacing w:before="0" w:after="200"/>
        <w:shd w:val="clear" w:fill="F4F6F8"/>
        <w:pBdr>
          <w:bottom w:val="single" w:sz="8" w:space="1" w:color="8A8A8A"/>
        </w:pBdr>
      </w:pPr>
      <w:r>
        <w:rPr>
          <w:b w:val="0"/>
          <w:color w:val="222222"/>
        </w:rPr>
        <w:t>Classification</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Confidential classification and CIA (Confidentiality, Integrity, and Availability) needs for Production platform</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ISMS Manager</w:t>
      </w:r>
    </w:p>
    <w:p>
      <w:pPr>
        <w:pStyle w:val="974"/>
        <w:outlineLvl w:val="1"/>
      </w:pPr>
      <w:bookmarkStart w:id="19" w:name="_TocRAM009"/>
      <w:r>
        <w:t>AOAVC-003</w:t>
      </w:r>
      <w:bookmarkEnd w:id="19"/>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Pending</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DEP-AST-001-2026-Q3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update pending.</w:t>
      </w:r>
    </w:p>
    <w:p>
      <w:pPr>
        <w:spacing w:before="40" w:after="0"/>
      </w:pPr>
      <w:r>
        <w:rPr>
          <w:color w:val="5B5B5B"/>
          <w:sz w:val="18"/>
        </w:rPr>
        <w:t>Area</w:t>
      </w:r>
    </w:p>
    <w:p>
      <w:pPr>
        <w:spacing w:before="0" w:after="200"/>
        <w:shd w:val="clear" w:fill="F4F6F8"/>
        <w:pBdr>
          <w:bottom w:val="single" w:sz="8" w:space="1" w:color="8A8A8A"/>
        </w:pBdr>
      </w:pPr>
      <w:r>
        <w:rPr>
          <w:b w:val="0"/>
          <w:color w:val="222222"/>
        </w:rPr>
        <w:t>Dependencies</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Cloud hosting, identity provider and backup dependency links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3"/>
        <w:outlineLvl w:val="0"/>
      </w:pPr>
      <w:bookmarkStart w:id="20" w:name="_TocRAM010"/>
      <w:bookmarkStart w:id="5" w:name="ref_evidence_reviewed"/>
      <w:r>
        <w:t>Evidence reviewed</w:t>
      </w:r>
      <w:bookmarkEnd w:id="5"/>
      <w:bookmarkEnd w:id="20"/>
    </w:p>
    <w:p>
      <w:r>
        <w:rPr>
          <w:b w:val="0"/>
        </w:rPr>
        <w:t>Record the evidence reviewed to support the validation conclusion.</w:t>
      </w:r>
    </w:p>
    <w:p>
      <w:pPr>
        <w:spacing w:before="240" w:after="80"/>
      </w:pPr>
      <w:r>
        <w:rPr>
          <w:b/>
        </w:rPr>
        <w:t>Asset Inventory extract for AST-001</w:t>
      </w:r>
    </w:p>
    <w:p>
      <w:pPr>
        <w:spacing w:before="40" w:after="0"/>
      </w:pPr>
      <w:r>
        <w:rPr>
          <w:color w:val="5B5B5B"/>
          <w:sz w:val="18"/>
        </w:rPr>
        <w:t>Owner</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Owner and classification present.</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Asset Inventory</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Complete</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No</w:t>
      </w:r>
    </w:p>
    <w:p>
      <w:pPr>
        <w:spacing w:before="240" w:after="80"/>
      </w:pPr>
      <w:r>
        <w:rPr>
          <w:b/>
        </w:rPr>
        <w:t>Access Control Matrix for Production platform</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ACM-APP-CRM (Customer Relationship Management)-2026-Q3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needs update.</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Access Control Matrix</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Partial</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Yes</w:t>
      </w:r>
    </w:p>
    <w:p>
      <w:pPr>
        <w:pStyle w:val="973"/>
        <w:outlineLvl w:val="0"/>
      </w:pPr>
      <w:bookmarkStart w:id="21" w:name="_TocRAM011"/>
      <w:bookmarkStart w:id="6" w:name="ref_gaps_and_actions"/>
      <w:r>
        <w:t>Gaps and actions</w:t>
      </w:r>
      <w:bookmarkEnd w:id="6"/>
      <w:bookmarkEnd w:id="21"/>
    </w:p>
    <w:p>
      <w:r>
        <w:rPr>
          <w:b w:val="0"/>
        </w:rPr>
        <w:t>Use this table or list as the working record. Name owners, systems and evidence so a second person can apply the same rule.</w:t>
      </w:r>
    </w:p>
    <w:p>
      <w:pPr>
        <w:pStyle w:val="974"/>
        <w:outlineLvl w:val="1"/>
      </w:pPr>
      <w:bookmarkStart w:id="22" w:name="_TocRAM012"/>
      <w:r>
        <w:t>SOAVC-GAP-001</w:t>
      </w:r>
      <w:bookmarkEnd w:id="22"/>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 Manager</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CAR-ACCESS-2026-001</w:t>
      </w:r>
    </w:p>
    <w:p>
      <w:pPr>
        <w:spacing w:before="40" w:after="0"/>
      </w:pPr>
      <w:r>
        <w:rPr>
          <w:color w:val="5B5B5B"/>
          <w:sz w:val="18"/>
        </w:rPr>
        <w:t>Notes</w:t>
      </w:r>
    </w:p>
    <w:p>
      <w:pPr>
        <w:spacing w:before="0" w:after="200"/>
        <w:shd w:val="clear" w:fill="F4F6F8"/>
        <w:pBdr>
          <w:bottom w:val="single" w:sz="8" w:space="1" w:color="8A8A8A"/>
        </w:pBdr>
      </w:pPr>
      <w:r>
        <w:rPr>
          <w:b w:val="0"/>
          <w:color w:val="222222"/>
        </w:rPr>
        <w:t>Needed before external audit readiness.</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Close privileged access exception or renew with residual-risk decision.</w:t>
      </w:r>
    </w:p>
    <w:p>
      <w:pPr>
        <w:spacing w:before="40" w:after="0"/>
      </w:pPr>
      <w:r>
        <w:rPr>
          <w:color w:val="5B5B5B"/>
          <w:sz w:val="18"/>
        </w:rPr>
        <w:t>Related item</w:t>
      </w:r>
    </w:p>
    <w:p>
      <w:pPr>
        <w:spacing w:before="0" w:after="200"/>
        <w:shd w:val="clear" w:fill="F4F6F8"/>
        <w:pBdr>
          <w:bottom w:val="single" w:sz="8" w:space="1" w:color="8A8A8A"/>
        </w:pBdr>
      </w:pPr>
      <w:r>
        <w:rPr>
          <w:b w:val="0"/>
          <w:color w:val="222222"/>
        </w:rPr>
        <w:t>ARR-2026-Q3</w:t>
      </w:r>
    </w:p>
    <w:p>
      <w:pPr>
        <w:spacing w:before="40" w:after="0"/>
      </w:pPr>
      <w:r>
        <w:rPr>
          <w:color w:val="5B5B5B"/>
          <w:sz w:val="18"/>
        </w:rPr>
        <w:t>Priority</w:t>
      </w:r>
    </w:p>
    <w:p>
      <w:pPr>
        <w:spacing w:before="0" w:after="200"/>
        <w:shd w:val="clear" w:fill="F4F6F8"/>
        <w:pBdr>
          <w:bottom w:val="single" w:sz="8" w:space="1" w:color="8A8A8A"/>
        </w:pBdr>
      </w:pPr>
      <w:r>
        <w:rPr>
          <w:b w:val="0"/>
          <w:color w:val="222222"/>
        </w:rPr>
        <w:t>High</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Status</w:t>
      </w:r>
    </w:p>
    <w:p>
      <w:pPr>
        <w:spacing w:before="0" w:after="200"/>
        <w:shd w:val="clear" w:fill="F4F6F8"/>
        <w:pBdr>
          <w:bottom w:val="single" w:sz="8" w:space="1" w:color="8A8A8A"/>
        </w:pBdr>
      </w:pPr>
      <w:r>
        <w:rPr>
          <w:b w:val="0"/>
          <w:color w:val="222222"/>
        </w:rPr>
        <w:t>Open</w:t>
      </w:r>
    </w:p>
    <w:p>
      <w:pPr>
        <w:pStyle w:val="973"/>
        <w:outlineLvl w:val="0"/>
      </w:pPr>
      <w:bookmarkStart w:id="23" w:name="_TocRAM013"/>
      <w:bookmarkStart w:id="7" w:name="ref_exceptions"/>
      <w:r>
        <w:t>Exceptions</w:t>
      </w:r>
      <w:bookmarkEnd w:id="7"/>
      <w:bookmarkEnd w:id="23"/>
    </w:p>
    <w:p>
      <w:r>
        <w:rPr>
          <w:b w:val="0"/>
        </w:rPr>
        <w:t>Use this table or list as the working record. Name owners, systems and evidence so a second person can apply the same rule.</w:t>
      </w:r>
    </w:p>
    <w:p>
      <w:pPr>
        <w:pStyle w:val="974"/>
        <w:outlineLvl w:val="1"/>
      </w:pPr>
      <w:bookmarkStart w:id="24" w:name="_TocRAM014"/>
      <w:r>
        <w:t>SOAVC-EX-001</w:t>
      </w:r>
      <w:bookmarkEnd w:id="24"/>
    </w:p>
    <w:p>
      <w:pPr>
        <w:spacing w:before="40" w:after="0"/>
      </w:pPr>
      <w:r>
        <w:rPr>
          <w:color w:val="5B5B5B"/>
          <w:sz w:val="18"/>
        </w:rPr>
        <w:t>Notes</w:t>
      </w:r>
    </w:p>
    <w:p>
      <w:pPr>
        <w:spacing w:before="0" w:after="200"/>
        <w:shd w:val="clear" w:fill="F4F6F8"/>
        <w:pBdr>
          <w:bottom w:val="single" w:sz="8" w:space="1" w:color="8A8A8A"/>
        </w:pBdr>
      </w:pPr>
      <w:r>
        <w:rPr>
          <w:b w:val="0"/>
          <w:color w:val="222222"/>
        </w:rPr>
        <w:t>No extension without new risk decision.</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Temporary elevated cloud admin access remains active.</w:t>
      </w:r>
    </w:p>
    <w:p>
      <w:pPr>
        <w:spacing w:before="40" w:after="0"/>
      </w:pPr>
      <w:r>
        <w:rPr>
          <w:color w:val="5B5B5B"/>
          <w:sz w:val="18"/>
        </w:rPr>
        <w:t>Reason</w:t>
      </w:r>
    </w:p>
    <w:p>
      <w:pPr>
        <w:spacing w:before="0" w:after="200"/>
        <w:shd w:val="clear" w:fill="F4F6F8"/>
        <w:pBdr>
          <w:bottom w:val="single" w:sz="8" w:space="1" w:color="8A8A8A"/>
        </w:pBdr>
      </w:pPr>
      <w:r>
        <w:rPr>
          <w:b w:val="0"/>
          <w:color w:val="222222"/>
        </w:rPr>
        <w:t>Migration support</w:t>
      </w:r>
    </w:p>
    <w:p>
      <w:pPr>
        <w:spacing w:before="40" w:after="0"/>
      </w:pPr>
      <w:r>
        <w:rPr>
          <w:color w:val="5B5B5B"/>
          <w:sz w:val="18"/>
        </w:rPr>
        <w:t>Approver</w:t>
      </w:r>
    </w:p>
    <w:p>
      <w:pPr>
        <w:spacing w:before="0" w:after="200"/>
        <w:shd w:val="clear" w:fill="F4F6F8"/>
        <w:pBdr>
          <w:bottom w:val="single" w:sz="8" w:space="1" w:color="8A8A8A"/>
        </w:pBdr>
      </w:pPr>
      <w:r>
        <w:rPr>
          <w:b w:val="0"/>
          <w:color w:val="222222"/>
        </w:rPr>
        <w:t>Top Management</w:t>
      </w:r>
    </w:p>
    <w:p>
      <w:pPr>
        <w:spacing w:before="40" w:after="0"/>
      </w:pPr>
      <w:r>
        <w:rPr>
          <w:color w:val="5B5B5B"/>
          <w:sz w:val="18"/>
        </w:rPr>
        <w:t>Expiry 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Compensating control</w:t>
      </w:r>
    </w:p>
    <w:p>
      <w:pPr>
        <w:spacing w:before="0" w:after="200"/>
        <w:shd w:val="clear" w:fill="F4F6F8"/>
        <w:pBdr>
          <w:bottom w:val="single" w:sz="8" w:space="1" w:color="8A8A8A"/>
        </w:pBdr>
      </w:pPr>
      <w:r>
        <w:rPr>
          <w:b w:val="0"/>
          <w:color w:val="222222"/>
        </w:rPr>
        <w:t>MFA (Multi-Factor Authentication), named account, logging and weekly review</w:t>
      </w:r>
    </w:p>
    <w:p>
      <w:pPr>
        <w:spacing w:before="40" w:after="0"/>
      </w:pPr>
      <w:r>
        <w:rPr>
          <w:color w:val="5B5B5B"/>
          <w:sz w:val="18"/>
        </w:rPr>
        <w:t>Residual risk</w:t>
      </w:r>
    </w:p>
    <w:p>
      <w:pPr>
        <w:spacing w:before="0" w:after="200"/>
        <w:shd w:val="clear" w:fill="F4F6F8"/>
        <w:pBdr>
          <w:bottom w:val="single" w:sz="8" w:space="1" w:color="8A8A8A"/>
        </w:pBdr>
      </w:pPr>
      <w:r>
        <w:rPr>
          <w:b w:val="0"/>
          <w:color w:val="222222"/>
        </w:rPr>
        <w:t>Medium</w:t>
      </w:r>
    </w:p>
    <w:p>
      <w:pPr>
        <w:spacing w:before="40" w:after="0"/>
      </w:pPr>
      <w:r>
        <w:rPr>
          <w:color w:val="5B5B5B"/>
          <w:sz w:val="18"/>
        </w:rPr>
        <w:t>Status</w:t>
      </w:r>
    </w:p>
    <w:p>
      <w:pPr>
        <w:spacing w:before="0" w:after="200"/>
        <w:shd w:val="clear" w:fill="F4F6F8"/>
        <w:pBdr>
          <w:bottom w:val="single" w:sz="8" w:space="1" w:color="8A8A8A"/>
        </w:pBdr>
      </w:pPr>
      <w:r>
        <w:rPr>
          <w:b w:val="0"/>
          <w:color w:val="222222"/>
        </w:rPr>
        <w:t>Approved</w:t>
      </w:r>
    </w:p>
    <w:p>
      <w:pPr>
        <w:pStyle w:val="973"/>
        <w:outlineLvl w:val="0"/>
      </w:pPr>
      <w:bookmarkStart w:id="25" w:name="_TocRAM015"/>
      <w:bookmarkStart w:id="8" w:name="ref_lifecycle_linkage"/>
      <w:r>
        <w:t>Lifecycle linkage</w:t>
      </w:r>
      <w:bookmarkEnd w:id="8"/>
      <w:bookmarkEnd w:id="25"/>
    </w:p>
    <w:p>
      <w:r>
        <w:rPr>
          <w:b w:val="0"/>
        </w:rPr>
        <w:t>Use this table or list as the working record. Name owners, systems and evidence so a second person can apply the same rule.</w:t>
      </w:r>
    </w:p>
    <w:p>
      <w:pPr>
        <w:spacing w:before="240" w:after="80"/>
      </w:pPr>
      <w:r>
        <w:rPr>
          <w:b/>
        </w:rPr>
        <w:t>Statement of Applicability</w:t>
      </w:r>
    </w:p>
    <w:p>
      <w:pPr>
        <w:spacing w:before="40" w:after="0"/>
      </w:pPr>
      <w:r>
        <w:rPr>
          <w:color w:val="5B5B5B"/>
          <w:sz w:val="18"/>
        </w:rPr>
        <w:t>Owner</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SOA-A.5.15-2026</w:t>
      </w:r>
    </w:p>
    <w:p>
      <w:pPr>
        <w:spacing w:before="40" w:after="0"/>
      </w:pPr>
      <w:r>
        <w:rPr>
          <w:color w:val="5B5B5B"/>
          <w:sz w:val="18"/>
        </w:rPr>
        <w:t>Status</w:t>
      </w:r>
    </w:p>
    <w:p>
      <w:pPr>
        <w:spacing w:before="0" w:after="200"/>
        <w:shd w:val="clear" w:fill="F4F6F8"/>
        <w:pBdr>
          <w:bottom w:val="single" w:sz="8" w:space="1" w:color="8A8A8A"/>
        </w:pBdr>
      </w:pPr>
      <w:r>
        <w:rPr>
          <w:b w:val="0"/>
          <w:color w:val="222222"/>
        </w:rPr>
        <w:t>Current</w:t>
      </w:r>
    </w:p>
    <w:p>
      <w:pPr>
        <w:spacing w:before="240" w:after="80"/>
      </w:pPr>
      <w:r>
        <w:rPr>
          <w:b/>
        </w:rPr>
        <w:t>Risk Treatment Plan</w:t>
      </w:r>
    </w:p>
    <w:p>
      <w:pPr>
        <w:spacing w:before="40" w:after="0"/>
      </w:pPr>
      <w:r>
        <w:rPr>
          <w:color w:val="5B5B5B"/>
          <w:sz w:val="18"/>
        </w:rPr>
        <w:t>Owner</w:t>
      </w:r>
    </w:p>
    <w:p>
      <w:pPr>
        <w:spacing w:before="0" w:after="200"/>
        <w:shd w:val="clear" w:fill="F4F6F8"/>
        <w:pBdr>
          <w:bottom w:val="single" w:sz="8" w:space="1" w:color="8A8A8A"/>
        </w:pBdr>
      </w:pPr>
      <w:r>
        <w:rPr>
          <w:b w:val="0"/>
          <w:color w:val="222222"/>
        </w:rPr>
        <w:t>Risk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RTP-ACCESS-2026-Q3</w:t>
      </w:r>
    </w:p>
    <w:p>
      <w:pPr>
        <w:spacing w:before="40" w:after="0"/>
      </w:pPr>
      <w:r>
        <w:rPr>
          <w:color w:val="5B5B5B"/>
          <w:sz w:val="18"/>
        </w:rPr>
        <w:t>Status</w:t>
      </w:r>
    </w:p>
    <w:p>
      <w:pPr>
        <w:spacing w:before="0" w:after="200"/>
        <w:shd w:val="clear" w:fill="F4F6F8"/>
        <w:pBdr>
          <w:bottom w:val="single" w:sz="8" w:space="1" w:color="8A8A8A"/>
        </w:pBdr>
      </w:pPr>
      <w:r>
        <w:rPr>
          <w:b w:val="0"/>
          <w:color w:val="222222"/>
        </w:rPr>
        <w:t>Open follow-up</w:t>
      </w:r>
    </w:p>
    <w:p>
      <w:pPr>
        <w:spacing w:before="240" w:after="80"/>
      </w:pPr>
      <w:r>
        <w:rPr>
          <w:b/>
        </w:rPr>
        <w:t>Corrective Action Register</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 Manager</w:t>
      </w:r>
    </w:p>
    <w:p>
      <w:pPr>
        <w:spacing w:before="40" w:after="0"/>
      </w:pPr>
      <w:r>
        <w:rPr>
          <w:color w:val="5B5B5B"/>
          <w:sz w:val="18"/>
        </w:rPr>
        <w:t>Reference</w:t>
      </w:r>
    </w:p>
    <w:p>
      <w:pPr>
        <w:spacing w:before="0" w:after="200"/>
        <w:shd w:val="clear" w:fill="F4F6F8"/>
        <w:pBdr>
          <w:bottom w:val="single" w:sz="8" w:space="1" w:color="8A8A8A"/>
        </w:pBdr>
      </w:pPr>
      <w:r>
        <w:rPr>
          <w:b w:val="0"/>
          <w:color w:val="222222"/>
        </w:rPr>
        <w:t>CAR-ACCESS-2026-001</w:t>
      </w:r>
    </w:p>
    <w:p>
      <w:pPr>
        <w:spacing w:before="40" w:after="0"/>
      </w:pPr>
      <w:r>
        <w:rPr>
          <w:color w:val="5B5B5B"/>
          <w:sz w:val="18"/>
        </w:rPr>
        <w:t>Status</w:t>
      </w:r>
    </w:p>
    <w:p>
      <w:pPr>
        <w:spacing w:before="0" w:after="200"/>
        <w:shd w:val="clear" w:fill="F4F6F8"/>
        <w:pBdr>
          <w:bottom w:val="single" w:sz="8" w:space="1" w:color="8A8A8A"/>
        </w:pBdr>
      </w:pPr>
      <w:r>
        <w:rPr>
          <w:b w:val="0"/>
          <w:color w:val="222222"/>
        </w:rPr>
        <w:t>Open</w:t>
      </w:r>
    </w:p>
    <w:p>
      <w:pPr>
        <w:pStyle w:val="973"/>
        <w:outlineLvl w:val="0"/>
      </w:pPr>
      <w:bookmarkStart w:id="26" w:name="_TocRAM016"/>
      <w:bookmarkStart w:id="9" w:name="ref_validation_decision"/>
      <w:r>
        <w:t>Validation decision</w:t>
      </w:r>
      <w:bookmarkEnd w:id="9"/>
      <w:bookmarkEnd w:id="26"/>
    </w:p>
    <w:p>
      <w:r>
        <w:rPr>
          <w:b w:val="0"/>
        </w:rPr>
        <w:t>State the final validation decision.</w:t>
      </w:r>
    </w:p>
    <w:tbl>
      <w:tblPr>
        <w:tblStyle w:val="1033"/>
        <w:tblW w:type="dxa" w:w="10080"/>
        <w:jc w:val="left"/>
        <w:tblLayout w:type="fixed"/>
        <w:tblLook w:firstColumn="1" w:firstRow="1" w:lastColumn="0" w:lastRow="0" w:noHBand="0" w:noVBand="1" w:val="04A0"/>
      </w:tblPr>
      <w:tblGrid>
        <w:gridCol w:w="3357"/>
        <w:gridCol w:w="6723"/>
      </w:tblGrid>
      <w:tr>
        <w:trPr>
          <w:tblHeader/>
          <w:cantSplit/>
        </w:trPr>
        <w:tc>
          <w:tcPr>
            <w:tcW w:type="dxa" w:w="3357"/>
            <w:shd w:fill="F7F9FC"/>
          </w:tcPr>
          <w:p>
            <w:r/>
            <w:r>
              <w:rPr>
                <w:b/>
                <w:color w:val="1F6FEB"/>
                <w:sz w:val="18"/>
              </w:rPr>
              <w:t>Field</w:t>
            </w:r>
          </w:p>
        </w:tc>
        <w:tc>
          <w:tcPr>
            <w:tcW w:type="dxa" w:w="6723"/>
            <w:shd w:fill="F7F9FC"/>
          </w:tcPr>
          <w:p>
            <w:r/>
            <w:r>
              <w:rPr>
                <w:b/>
                <w:color w:val="1F6FEB"/>
                <w:sz w:val="18"/>
              </w:rPr>
              <w:t>Value</w:t>
            </w:r>
          </w:p>
        </w:tc>
      </w:tr>
      <w:tr>
        <w:trPr>
          <w:cantSplit/>
        </w:trPr>
        <w:tc>
          <w:tcPr>
            <w:tcW w:type="dxa" w:w="3357"/>
          </w:tcPr>
          <w:p>
            <w:r/>
            <w:r>
              <w:rPr>
                <w:b w:val="0"/>
                <w:color w:val="1F2328"/>
                <w:sz w:val="18"/>
              </w:rPr>
              <w:t>Validation result</w:t>
            </w:r>
          </w:p>
        </w:tc>
        <w:tc>
          <w:tcPr>
            <w:tcW w:type="dxa" w:w="6723"/>
          </w:tcPr>
          <w:p>
            <w:r/>
            <w:r>
              <w:rPr>
                <w:b w:val="0"/>
                <w:color w:val="1F2328"/>
                <w:sz w:val="18"/>
              </w:rPr>
              <w:t>Conditionally accepted</w:t>
            </w:r>
          </w:p>
        </w:tc>
      </w:tr>
      <w:tr>
        <w:trPr>
          <w:cantSplit/>
        </w:trPr>
        <w:tc>
          <w:tcPr>
            <w:tcW w:type="dxa" w:w="3357"/>
          </w:tcPr>
          <w:p>
            <w:r/>
            <w:r>
              <w:rPr>
                <w:b w:val="0"/>
                <w:color w:val="1F2328"/>
                <w:sz w:val="18"/>
              </w:rPr>
              <w:t>Accepted by owner</w:t>
            </w:r>
          </w:p>
        </w:tc>
        <w:tc>
          <w:tcPr>
            <w:tcW w:type="dxa" w:w="6723"/>
          </w:tcPr>
          <w:p>
            <w:r/>
            <w:r>
              <w:rPr>
                <w:b w:val="0"/>
                <w:color w:val="1F2328"/>
                <w:sz w:val="18"/>
              </w:rPr>
              <w:t>Service Owner</w:t>
            </w:r>
          </w:p>
        </w:tc>
      </w:tr>
      <w:tr>
        <w:trPr>
          <w:cantSplit/>
        </w:trPr>
        <w:tc>
          <w:tcPr>
            <w:tcW w:type="dxa" w:w="3357"/>
          </w:tcPr>
          <w:p>
            <w:r/>
            <w:r>
              <w:rPr>
                <w:b w:val="0"/>
                <w:color w:val="1F2328"/>
                <w:sz w:val="18"/>
              </w:rPr>
              <w:t>Reviewer</w:t>
            </w:r>
          </w:p>
        </w:tc>
        <w:tc>
          <w:tcPr>
            <w:tcW w:type="dxa" w:w="6723"/>
          </w:tcPr>
          <w:p>
            <w:r/>
            <w:r>
              <w:rPr>
                <w:b w:val="0"/>
                <w:color w:val="1F2328"/>
                <w:sz w:val="18"/>
              </w:rPr>
              <w:t>ISMS Manager</w:t>
            </w:r>
          </w:p>
        </w:tc>
      </w:tr>
      <w:tr>
        <w:trPr>
          <w:cantSplit/>
        </w:trPr>
        <w:tc>
          <w:tcPr>
            <w:tcW w:type="dxa" w:w="3357"/>
          </w:tcPr>
          <w:p>
            <w:r/>
            <w:r>
              <w:rPr>
                <w:b w:val="0"/>
                <w:color w:val="1F2328"/>
                <w:sz w:val="18"/>
              </w:rPr>
              <w:t>Open blocker decision</w:t>
            </w:r>
          </w:p>
        </w:tc>
        <w:tc>
          <w:tcPr>
            <w:tcW w:type="dxa" w:w="6723"/>
          </w:tcPr>
          <w:p>
            <w:r/>
            <w:r>
              <w:rPr>
                <w:b w:val="0"/>
                <w:color w:val="1F2328"/>
                <w:sz w:val="18"/>
              </w:rPr>
              <w:t>No access blocker; supplier contact update remains open</w:t>
            </w:r>
          </w:p>
        </w:tc>
      </w:tr>
      <w:tr>
        <w:trPr>
          <w:cantSplit/>
        </w:trPr>
        <w:tc>
          <w:tcPr>
            <w:tcW w:type="dxa" w:w="3357"/>
          </w:tcPr>
          <w:p>
            <w:r/>
            <w:r>
              <w:rPr>
                <w:b w:val="0"/>
                <w:color w:val="1F2328"/>
                <w:sz w:val="18"/>
              </w:rPr>
              <w:t>Final status</w:t>
            </w:r>
          </w:p>
        </w:tc>
        <w:tc>
          <w:tcPr>
            <w:tcW w:type="dxa" w:w="6723"/>
          </w:tcPr>
          <w:p>
            <w:r/>
            <w:r>
              <w:rPr>
                <w:b w:val="0"/>
                <w:color w:val="1F2328"/>
                <w:sz w:val="18"/>
              </w:rPr>
              <w:t>Conditionally complete</w:t>
            </w:r>
          </w:p>
        </w:tc>
      </w:tr>
      <w:tr>
        <w:trPr>
          <w:cantSplit/>
        </w:trPr>
        <w:tc>
          <w:tcPr>
            <w:tcW w:type="dxa" w:w="3357"/>
          </w:tcPr>
          <w:p>
            <w:r/>
            <w:r>
              <w:rPr>
                <w:b w:val="0"/>
                <w:color w:val="1F2328"/>
                <w:sz w:val="18"/>
              </w:rPr>
              <w:t>Decision date</w:t>
            </w:r>
          </w:p>
        </w:tc>
        <w:tc>
          <w:tcPr>
            <w:tcW w:type="dxa" w:w="6723"/>
          </w:tcPr>
          <w:p>
            <w:r/>
            <w:r>
              <w:rPr>
                <w:b w:val="0"/>
                <w:color w:val="1F2328"/>
                <w:sz w:val="18"/>
              </w:rPr>
              <w:t>2026-08-29</w:t>
            </w:r>
          </w:p>
        </w:tc>
      </w:tr>
      <w:tr>
        <w:trPr>
          <w:cantSplit/>
        </w:trPr>
        <w:tc>
          <w:tcPr>
            <w:tcW w:type="dxa" w:w="3357"/>
          </w:tcPr>
          <w:p>
            <w:r/>
            <w:r>
              <w:rPr>
                <w:b w:val="0"/>
                <w:color w:val="1F2328"/>
                <w:sz w:val="18"/>
              </w:rPr>
              <w:t>Evidence reference</w:t>
            </w:r>
          </w:p>
        </w:tc>
        <w:tc>
          <w:tcPr>
            <w:tcW w:type="dxa" w:w="6723"/>
          </w:tcPr>
          <w:p>
            <w:r/>
            <w:r>
              <w:rPr>
                <w:b w:val="0"/>
                <w:color w:val="1F2328"/>
                <w:sz w:val="18"/>
              </w:rPr>
              <w:t>AOAVC-DEC-2026-Q3</w:t>
            </w:r>
          </w:p>
        </w:tc>
      </w:tr>
    </w:tbl>
    <w:p>
      <w:pPr>
        <w:spacing w:before="0" w:after="120"/>
      </w:pPr>
    </w:p>
    <w:p>
      <w:pPr>
        <w:pStyle w:val="973"/>
        <w:outlineLvl w:val="0"/>
      </w:pPr>
      <w:bookmarkStart w:id="27" w:name="_TocRAM017"/>
      <w:bookmarkStart w:id="10" w:name="ref_external_references"/>
      <w:r>
        <w:t>References</w:t>
      </w:r>
      <w:bookmarkEnd w:id="10"/>
      <w:bookmarkEnd w:id="27"/>
    </w:p>
    <w:p>
      <w:r>
        <w:rPr>
          <w:b w:val="0"/>
        </w:rPr>
        <w:t>Cite these sources from workshops and audits. This list names ISO (International Organization for Standardization)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Secure Engineering, Access Control &amp; Identity Management</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Secure Engineering, Access Control &amp; Identity Management</w:t>
        </w:r>
      </w:hyperlink>
      <w:r>
        <w:rPr>
          <w:b w:val="0"/>
        </w:rPr>
        <w:t xml:space="preserve"> — Primary operating chapter for this companion artifact.</w:t>
      </w:r>
    </w:p>
    <w:p>
      <w:pPr>
        <w:pStyle w:val="1006"/>
        <w:ind w:left="360" w:hanging="259"/>
        <w:numPr>
          <w:ilvl w:val="0"/>
          <w:numId w:val="11"/>
        </w:numPr>
      </w:pPr>
      <w:hyperlink r:id="rId18"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9" w:history="1">
        <w:r>
          <w:rPr>
            <w:color w:val="0563C1"/>
            <w:u w:val="single"/>
          </w:rPr>
          <w:t xml:space="preserve">AOAVC Asset Owner Asset Validation Checklist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18" w:history="1">
        <w:r>
          <w:rPr>
            <w:color w:val="0563C1"/>
            <w:u w:val="single"/>
          </w:rPr>
          <w:t xml:space="preserve">SOA Statement of Applicability (SoA) (Building the ISMS, Context of the Organization (Clause 4))</w:t>
        </w:r>
      </w:hyperlink>
      <w:r>
        <w:rPr>
          <w:b w:val="0"/>
        </w:rPr>
        <w:t xml:space="preserve"> — Interface record. Cite this Document Control version; do not copy this file into that record.</w:t>
      </w:r>
    </w:p>
    <w:p>
      <w:pPr>
        <w:pStyle w:val="1006"/>
        <w:ind w:left="360" w:hanging="259"/>
        <w:numPr>
          <w:ilvl w:val="0"/>
          <w:numId w:val="11"/>
        </w:numPr>
      </w:pPr>
      <w:hyperlink r:id="rId19" w:history="1">
        <w:r>
          <w:rPr>
            <w:color w:val="0563C1"/>
            <w:u w:val="single"/>
          </w:rPr>
          <w:t xml:space="preserve">AI Asset Inventory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17" w:history="1">
        <w:r>
          <w:rPr>
            <w:color w:val="0563C1"/>
            <w:u w:val="single"/>
          </w:rPr>
          <w:t xml:space="preserve">ARR Access Rights Register (Secure Engineering, Access Control &amp; Identity Management)</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Control Owner Statement of Applicability Validation Checklist (SOAVC)</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dp/9789908983455" TargetMode="External"/><Relationship Id="rId18" Type="http://schemas.openxmlformats.org/officeDocument/2006/relationships/hyperlink" Target="https://www.amazon.com/dp/9789908983448" TargetMode="External"/><Relationship Id="rId19" Type="http://schemas.openxmlformats.org/officeDocument/2006/relationships/hyperlink" Target="https://www.amazon.com/s?k=ISO+27001+for+Software+Companies+Implementation+and+Certif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Owner Statement of Applicability Validation Checklist</dc:title>
  <dc:subject>Official ExportableProof Companion Artifact SOAVC</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Checklist</cp:category>
</cp:coreProperties>
</file>