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EDD77B7">
      <w:pPr>
        <w:pBdr/>
        <w:spacing/>
        <w:ind/>
        <w:rPr/>
      </w:pPr>
      <w:r>
        <mc:AlternateContent>
          <mc:Choice Requires="wpg">
            <w:drawing>
              <wp:inline xmlns:wp="http://schemas.openxmlformats.org/drawingml/2006/wordprocessingDrawing" distT="0" distB="0" distL="0" distR="0">
                <wp:extent cx="6400800" cy="16002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484213" name=""/>
                        <pic:cNvPicPr>
                          <a:picLocks noChangeAspect="1"/>
                        </pic:cNvPicPr>
                        <pic:nvPr/>
                      </pic:nvPicPr>
                      <pic:blipFill rotWithShape="1">
                        <a:blip r:embed="rId13"/>
                        <a:stretch/>
                      </pic:blipFill>
                      <pic:spPr bwMode="auto">
                        <a:xfrm>
                          <a:off x="0" y="0"/>
                          <a:ext cx="6400798" cy="1600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04.00pt;height:126.00pt;mso-wrap-distance-left:0.00pt;mso-wrap-distance-top:0.00pt;mso-wrap-distance-right:0.00pt;mso-wrap-distance-bottom:0.00pt;z-index:1;" stroked="false">
                <v:imagedata r:id="rId13" o:title=""/>
                <o:lock v:ext="edit" rotation="t"/>
              </v:shape>
            </w:pict>
          </mc:Fallback>
        </mc:AlternateContent>
      </w:r>
      <w:r/>
    </w:p>
    <w:p w14:paraId="197DA4AB">
      <w:pPr>
        <w:pBdr/>
        <w:spacing/>
        <w:ind/>
        <w:rPr/>
      </w:pPr>
      <w:r/>
      <w:r/>
    </w:p>
    <w:p w14:paraId="0D74E395">
      <w:pPr>
        <w:pBdr/>
        <w:spacing/>
        <w:ind/>
        <w:rPr/>
      </w:pPr>
      <w:r/>
      <w:r/>
    </w:p>
    <w:p>
      <w:pPr>
        <w:pBdr/>
        <w:spacing/>
        <w:ind/>
        <w:rPr/>
      </w:pPr>
      <w:r/>
      <w:r/>
    </w:p>
    <w:p>
      <w:pPr>
        <w:pBdr/>
        <w:spacing/>
        <w:ind/>
        <w:jc w:val="left"/>
        <w:rPr>
          <w:b/>
          <w:bCs/>
          <w:color w:val="1f4e79"/>
          <w:sz w:val="60"/>
          <w:szCs w:val="60"/>
          <w:highlight w:val="none"/>
        </w:rPr>
      </w:pPr>
      <w:r>
        <w:rPr>
          <w:b/>
          <w:color w:val="1f4e79"/>
          <w:sz w:val="60"/>
        </w:rPr>
        <w:t xml:space="preserve">Systems Architecture Statement</w:t>
      </w:r>
      <w:r>
        <w:rPr>
          <w:b/>
          <w:bCs/>
          <w:color w:val="1f4e79"/>
          <w:sz w:val="60"/>
          <w:szCs w:val="60"/>
          <w:highlight w:val="none"/>
        </w:rPr>
      </w:r>
      <w:r>
        <w:rPr>
          <w:b/>
          <w:bCs/>
          <w:color w:val="1f4e79"/>
          <w:sz w:val="60"/>
          <w:szCs w:val="60"/>
          <w:highlight w:val="none"/>
        </w:rPr>
      </w:r>
    </w:p>
    <w:p w14:paraId="1715952B">
      <w:pPr>
        <w:pBdr/>
        <w:spacing/>
        <w:ind/>
        <w:jc w:val="left"/>
        <w:rPr/>
      </w:pPr>
      <w:r>
        <w:t xml:space="preserve">Official Companion Artifact</w:t>
      </w:r>
      <w:r/>
    </w:p>
    <w:p w14:paraId="5A4A9E3A">
      <w:pPr>
        <w:pBdr/>
        <w:spacing/>
        <w:ind/>
        <w:jc w:val="left"/>
        <w:rPr/>
      </w:pPr>
      <w:r/>
      <w:r/>
    </w:p>
    <w:p>
      <w:pPr>
        <w:pBdr/>
        <w:spacing/>
        <w:ind/>
        <w:rPr>
          <w:highlight w:val="none"/>
        </w:rPr>
      </w:pPr>
      <w:r>
        <w:t xml:space="preserve">This example documents the Arcfield system architecture boundary, major components, data flows, trust boundaries, dependencies, control mapping and evidence needed for ISMS (Information Security Management System) scope, risk and audit readiness. This statement remains binding for the certified Arcfield Platform ISMS in the surveillance cycle after certificate ARC-ISMS-2025-001.</w:t>
      </w:r>
      <w:r>
        <w:rPr>
          <w:highlight w:val="none"/>
        </w:rPr>
      </w:r>
      <w:r>
        <w:rPr>
          <w:highlight w:val="none"/>
        </w:rPr>
      </w:r>
    </w:p>
    <w:tbl>
      <w:tblPr>
        <w:tblStyle w:val="1033"/>
        <w:tblW w:type="dxa" w:w="10080"/>
        <w:jc w:val="left"/>
        <w:tblLayout w:type="fixed"/>
        <w:tblLook w:firstColumn="1" w:firstRow="1" w:lastColumn="0" w:lastRow="0" w:noHBand="0" w:noVBand="1" w:val="04A0"/>
      </w:tblPr>
      <w:tblGrid>
        <w:gridCol w:w="2296"/>
        <w:gridCol w:w="7784"/>
      </w:tblGrid>
      <w:tr>
        <w:trPr>
          <w:tblHeader/>
          <w:cantSplit/>
        </w:trPr>
        <w:tc>
          <w:tcPr>
            <w:tcW w:type="dxa" w:w="2296"/>
            <w:shd w:fill="F7F9FC"/>
          </w:tcPr>
          <w:p>
            <w:r/>
            <w:r>
              <w:rPr>
                <w:b/>
                <w:color w:val="1F6FEB"/>
                <w:sz w:val="18"/>
              </w:rPr>
              <w:t>Field</w:t>
            </w:r>
          </w:p>
        </w:tc>
        <w:tc>
          <w:tcPr>
            <w:tcW w:type="dxa" w:w="7784"/>
            <w:shd w:fill="F7F9FC"/>
          </w:tcPr>
          <w:p>
            <w:r/>
            <w:r>
              <w:rPr>
                <w:b/>
                <w:color w:val="1F6FEB"/>
                <w:sz w:val="18"/>
              </w:rPr>
              <w:t>Value</w:t>
            </w:r>
          </w:p>
        </w:tc>
      </w:tr>
      <w:tr>
        <w:trPr>
          <w:cantSplit/>
        </w:trPr>
        <w:tc>
          <w:tcPr>
            <w:tcW w:type="dxa" w:w="2296"/>
          </w:tcPr>
          <w:p>
            <w:r/>
            <w:r>
              <w:rPr>
                <w:b w:val="0"/>
                <w:color w:val="1F2328"/>
                <w:sz w:val="18"/>
              </w:rPr>
              <w:t>Organization</w:t>
            </w:r>
          </w:p>
        </w:tc>
        <w:tc>
          <w:tcPr>
            <w:tcW w:type="dxa" w:w="7784"/>
          </w:tcPr>
          <w:p>
            <w:r/>
            <w:r>
              <w:rPr>
                <w:b w:val="0"/>
                <w:color w:val="1F2328"/>
                <w:sz w:val="18"/>
              </w:rPr>
              <w:t>Arcfield</w:t>
            </w:r>
          </w:p>
        </w:tc>
      </w:tr>
      <w:tr>
        <w:trPr>
          <w:cantSplit/>
        </w:trPr>
        <w:tc>
          <w:tcPr>
            <w:tcW w:type="dxa" w:w="2296"/>
          </w:tcPr>
          <w:p>
            <w:r/>
            <w:r>
              <w:rPr>
                <w:b w:val="0"/>
                <w:color w:val="1F2328"/>
                <w:sz w:val="18"/>
              </w:rPr>
              <w:t>Version</w:t>
            </w:r>
          </w:p>
        </w:tc>
        <w:tc>
          <w:tcPr>
            <w:tcW w:type="dxa" w:w="7784"/>
          </w:tcPr>
          <w:p>
            <w:r/>
            <w:r>
              <w:rPr>
                <w:b w:val="0"/>
                <w:color w:val="1F2328"/>
                <w:sz w:val="18"/>
              </w:rPr>
              <w:t>1.1</w:t>
            </w:r>
          </w:p>
        </w:tc>
      </w:tr>
      <w:tr>
        <w:trPr>
          <w:cantSplit/>
        </w:trPr>
        <w:tc>
          <w:tcPr>
            <w:tcW w:type="dxa" w:w="2296"/>
          </w:tcPr>
          <w:p>
            <w:r/>
            <w:r>
              <w:rPr>
                <w:b w:val="0"/>
                <w:color w:val="1F2328"/>
                <w:sz w:val="18"/>
              </w:rPr>
              <w:t>Classification</w:t>
            </w:r>
          </w:p>
        </w:tc>
        <w:tc>
          <w:tcPr>
            <w:tcW w:type="dxa" w:w="7784"/>
          </w:tcPr>
          <w:p>
            <w:r/>
            <w:r>
              <w:rPr>
                <w:b w:val="0"/>
                <w:color w:val="1F2328"/>
                <w:sz w:val="18"/>
              </w:rPr>
              <w:t>Internal</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Document Control</w:t>
      </w:r>
    </w:p>
    <w:tbl>
      <w:tblPr>
        <w:tblStyle w:val="1033"/>
        <w:tblW w:w="10080" w:type="dxa"/>
        <w:jc w:val="left"/>
        <w:tblBorders/>
        <w:tblLayout w:type="fixed"/>
        <w:tblLook w:val="04A0" w:firstRow="1" w:lastRow="0" w:firstColumn="1" w:lastColumn="0" w:noHBand="0" w:noVBand="1"/>
      </w:tblPr>
      <w:tblGrid>
        <w:gridCol w:w="2296"/>
        <w:gridCol w:w="7784"/>
      </w:tblGrid>
      <w:tr>
        <w:trPr/>
        <w:tc>
          <w:tcPr>
            <w:tcBorders/>
            <w:tcW w:w="2296" w:type="dxa"/>
            <w:shd w:fill="F7F9FC"/>
          </w:tcPr>
          <w:p>
            <w:pPr>
              <w:pBdr/>
              <w:spacing/>
              <w:ind/>
              <w:rPr/>
            </w:pPr>
            <w:r/>
            <w:r>
              <w:rPr>
                <w:b/>
                <w:color w:val="1F6FEB"/>
                <w:sz w:val="18"/>
              </w:rPr>
              <w:t>Field</w:t>
            </w:r>
          </w:p>
        </w:tc>
        <w:tc>
          <w:tcPr>
            <w:tcBorders/>
            <w:tcW w:w="7784" w:type="dxa"/>
            <w:shd w:fill="F7F9FC"/>
          </w:tcPr>
          <w:p>
            <w:pPr>
              <w:pBdr/>
              <w:spacing/>
              <w:ind/>
              <w:rPr/>
            </w:pPr>
            <w:r/>
            <w:r>
              <w:rPr>
                <w:b/>
                <w:color w:val="1F6FEB"/>
                <w:sz w:val="18"/>
              </w:rPr>
              <w:t>Value</w:t>
            </w:r>
          </w:p>
        </w:tc>
      </w:tr>
      <w:tr>
        <w:trPr/>
        <w:tc>
          <w:tcPr>
            <w:tcBorders/>
            <w:tcW w:w="2296" w:type="dxa"/>
          </w:tcPr>
          <w:p>
            <w:pPr>
              <w:pBdr/>
              <w:spacing/>
              <w:ind/>
              <w:rPr/>
            </w:pPr>
            <w:r/>
            <w:r>
              <w:rPr>
                <w:b w:val="0"/>
                <w:color w:val="1F2328"/>
                <w:sz w:val="18"/>
              </w:rPr>
              <w:t>Organization</w:t>
            </w:r>
          </w:p>
        </w:tc>
        <w:tc>
          <w:tcPr>
            <w:tcBorders/>
            <w:tcW w:w="7784" w:type="dxa"/>
          </w:tcPr>
          <w:p>
            <w:pPr>
              <w:pBdr/>
              <w:spacing/>
              <w:ind/>
              <w:rPr/>
            </w:pPr>
            <w:r/>
            <w:r>
              <w:rPr>
                <w:b w:val="0"/>
                <w:color w:val="1F2328"/>
                <w:sz w:val="18"/>
              </w:rPr>
              <w:t>Arcfield</w:t>
            </w:r>
          </w:p>
        </w:tc>
      </w:tr>
      <w:tr>
        <w:trPr/>
        <w:tc>
          <w:tcPr>
            <w:tcBorders/>
            <w:tcW w:w="2296" w:type="dxa"/>
          </w:tcPr>
          <w:p>
            <w:pPr>
              <w:pBdr/>
              <w:spacing/>
              <w:ind/>
              <w:rPr/>
            </w:pPr>
            <w:r/>
            <w:r>
              <w:rPr>
                <w:b w:val="0"/>
                <w:color w:val="1F2328"/>
                <w:sz w:val="18"/>
              </w:rPr>
              <w:t>Version</w:t>
            </w:r>
          </w:p>
        </w:tc>
        <w:tc>
          <w:tcPr>
            <w:tcBorders/>
            <w:tcW w:w="7784" w:type="dxa"/>
          </w:tcPr>
          <w:p>
            <w:pPr>
              <w:pBdr/>
              <w:spacing/>
              <w:ind/>
              <w:rPr/>
            </w:pPr>
            <w:r/>
            <w:r>
              <w:rPr>
                <w:b w:val="0"/>
                <w:color w:val="1F2328"/>
                <w:sz w:val="18"/>
              </w:rPr>
              <w:t>1.1</w:t>
            </w:r>
          </w:p>
        </w:tc>
      </w:tr>
      <w:tr>
        <w:trPr/>
        <w:tc>
          <w:tcPr>
            <w:tcBorders/>
            <w:tcW w:w="2296" w:type="dxa"/>
          </w:tcPr>
          <w:p>
            <w:pPr>
              <w:pBdr/>
              <w:spacing/>
              <w:ind/>
              <w:rPr/>
            </w:pPr>
            <w:r/>
            <w:r>
              <w:rPr>
                <w:b w:val="0"/>
                <w:color w:val="1F2328"/>
                <w:sz w:val="18"/>
              </w:rPr>
              <w:t>Status</w:t>
            </w:r>
          </w:p>
        </w:tc>
        <w:tc>
          <w:tcPr>
            <w:tcBorders/>
            <w:tcW w:w="7784" w:type="dxa"/>
          </w:tcPr>
          <w:p>
            <w:pPr>
              <w:pBdr/>
              <w:spacing/>
              <w:ind/>
              <w:rPr/>
            </w:pPr>
            <w:r/>
            <w:r>
              <w:rPr>
                <w:b w:val="0"/>
                <w:color w:val="1F2328"/>
                <w:sz w:val="18"/>
              </w:rPr>
              <w:t>Approved</w:t>
            </w:r>
          </w:p>
        </w:tc>
      </w:tr>
      <w:tr>
        <w:trPr/>
        <w:tc>
          <w:tcPr>
            <w:tcBorders/>
            <w:tcW w:w="2296" w:type="dxa"/>
          </w:tcPr>
          <w:p>
            <w:pPr>
              <w:pBdr/>
              <w:spacing/>
              <w:ind/>
              <w:rPr/>
            </w:pPr>
            <w:r/>
            <w:r>
              <w:rPr>
                <w:b w:val="0"/>
                <w:color w:val="1F2328"/>
                <w:sz w:val="18"/>
              </w:rPr>
              <w:t>Owner</w:t>
            </w:r>
          </w:p>
        </w:tc>
        <w:tc>
          <w:tcPr>
            <w:tcBorders/>
            <w:tcW w:w="7784" w:type="dxa"/>
          </w:tcPr>
          <w:p>
            <w:pPr>
              <w:pBdr/>
              <w:spacing/>
              <w:ind/>
              <w:rPr/>
            </w:pPr>
            <w:r/>
            <w:r>
              <w:rPr>
                <w:b w:val="0"/>
                <w:color w:val="1F2328"/>
                <w:sz w:val="18"/>
              </w:rPr>
              <w:t>Engineering Lead</w:t>
            </w:r>
          </w:p>
        </w:tc>
      </w:tr>
      <w:tr>
        <w:trPr/>
        <w:tc>
          <w:tcPr>
            <w:tcBorders/>
            <w:tcW w:w="2296" w:type="dxa"/>
          </w:tcPr>
          <w:p>
            <w:pPr>
              <w:pBdr/>
              <w:spacing/>
              <w:ind/>
              <w:rPr/>
            </w:pPr>
            <w:r/>
            <w:r>
              <w:rPr>
                <w:b w:val="0"/>
                <w:color w:val="1F2328"/>
                <w:sz w:val="18"/>
              </w:rPr>
              <w:t>Approver</w:t>
            </w:r>
          </w:p>
        </w:tc>
        <w:tc>
          <w:tcPr>
            <w:tcBorders/>
            <w:tcW w:w="7784" w:type="dxa"/>
          </w:tcPr>
          <w:p>
            <w:pPr>
              <w:pBdr/>
              <w:spacing/>
              <w:ind/>
              <w:rPr/>
            </w:pPr>
            <w:r/>
            <w:r>
              <w:rPr>
                <w:b w:val="0"/>
                <w:color w:val="1F2328"/>
                <w:sz w:val="18"/>
              </w:rPr>
              <w:t>Security Lead</w:t>
            </w:r>
          </w:p>
        </w:tc>
      </w:tr>
      <w:tr>
        <w:trPr/>
        <w:tc>
          <w:tcPr>
            <w:tcBorders/>
            <w:tcW w:w="2296" w:type="dxa"/>
            <w:vMerge w:val="restart"/>
          </w:tcPr>
          <w:p w14:paraId="31D2F00F">
            <w:pPr>
              <w:pBdr/>
              <w:spacing/>
              <w:ind/>
              <w:rPr>
                <w:b/>
              </w:rPr>
            </w:pPr>
            <w:r/>
            <w:r>
              <w:rPr>
                <w:b w:val="0"/>
                <w:color w:val="1F2328"/>
                <w:sz w:val="18"/>
              </w:rPr>
              <w:t>Classification</w:t>
            </w:r>
          </w:p>
        </w:tc>
        <w:tc>
          <w:tcPr>
            <w:tcBorders/>
            <w:tcW w:w="7784" w:type="dxa"/>
            <w:vMerge w:val="restart"/>
          </w:tcPr>
          <w:p w14:paraId="746BB0DF">
            <w:pPr>
              <w:pBdr/>
              <w:spacing/>
              <w:ind/>
              <w:rPr/>
            </w:pPr>
            <w:r/>
            <w:r>
              <w:rPr>
                <w:b w:val="0"/>
                <w:color w:val="1F2328"/>
                <w:sz w:val="18"/>
              </w:rPr>
              <w:t>Internal</w:t>
            </w:r>
          </w:p>
        </w:tc>
      </w:tr>
      <w:tr>
        <w:trPr/>
        <w:tc>
          <w:tcPr>
            <w:tcBorders/>
            <w:tcW w:w="2296" w:type="dxa"/>
            <w:vMerge w:val="restart"/>
          </w:tcPr>
          <w:p w14:paraId="7A2C2A7F">
            <w:pPr>
              <w:pBdr/>
              <w:spacing/>
              <w:ind/>
              <w:rPr>
                <w:b/>
              </w:rPr>
            </w:pPr>
            <w:r/>
            <w:r>
              <w:rPr>
                <w:b w:val="0"/>
                <w:color w:val="1F2328"/>
                <w:sz w:val="18"/>
              </w:rPr>
              <w:t>Effective Date</w:t>
            </w:r>
          </w:p>
        </w:tc>
        <w:tc>
          <w:tcPr>
            <w:tcBorders/>
            <w:tcW w:w="7784" w:type="dxa"/>
            <w:vMerge w:val="restart"/>
          </w:tcPr>
          <w:p w14:paraId="7DB152E7">
            <w:pPr>
              <w:pBdr/>
              <w:spacing/>
              <w:ind/>
              <w:rPr/>
            </w:pPr>
            <w:r/>
            <w:r>
              <w:rPr>
                <w:b w:val="0"/>
                <w:color w:val="1F2328"/>
                <w:sz w:val="18"/>
              </w:rPr>
              <w:t>2026-09-11</w:t>
            </w:r>
          </w:p>
        </w:tc>
      </w:tr>
      <w:tr>
        <w:trPr/>
        <w:tc>
          <w:tcPr>
            <w:tcBorders/>
            <w:tcW w:w="2296" w:type="dxa"/>
            <w:vMerge w:val="restart"/>
          </w:tcPr>
          <w:p w14:paraId="25D44444">
            <w:pPr>
              <w:pBdr/>
              <w:spacing/>
              <w:ind/>
              <w:rPr>
                <w:b/>
              </w:rPr>
            </w:pPr>
            <w:r/>
            <w:r>
              <w:rPr>
                <w:b w:val="0"/>
                <w:color w:val="1F2328"/>
                <w:sz w:val="18"/>
              </w:rPr>
              <w:t>Next Review Date</w:t>
            </w:r>
          </w:p>
        </w:tc>
        <w:tc>
          <w:tcPr>
            <w:tcBorders/>
            <w:tcW w:w="7784" w:type="dxa"/>
            <w:vMerge w:val="restart"/>
          </w:tcPr>
          <w:p w14:paraId="79776442">
            <w:pPr>
              <w:pBdr/>
              <w:spacing/>
              <w:ind/>
              <w:rPr/>
            </w:pPr>
            <w:r/>
            <w:r>
              <w:rPr>
                <w:b w:val="0"/>
                <w:color w:val="1F2328"/>
                <w:sz w:val="18"/>
              </w:rPr>
              <w:t>2027-09-11</w:t>
            </w:r>
          </w:p>
        </w:tc>
      </w:tr>
    </w:tbl>
    <w:p>
      <w:r>
        <w:br w:type="page"/>
      </w:r>
    </w:p>
    <w:p>
      <w:pPr>
        <w:keepNext w:val="true"/>
        <w:keepLines w:val="true"/>
        <w:pBdr/>
        <w:spacing w:after="0" w:before="480"/>
        <w:ind/>
        <w:outlineLvl w:val="9"/>
      </w:pPr>
      <w:r>
        <w:rPr>
          <w:rFonts w:asciiTheme="majorHAnsi" w:hAnsiTheme="majorHAnsi" w:eastAsiaTheme="majorEastAsia" w:cstheme="majorBidi"/>
          <w:b/>
          <w:bCs/>
          <w:color w:val="365f91" w:themeColor="accent1" w:themeShade="BF"/>
          <w:sz w:val="28"/>
          <w:szCs w:val="28"/>
        </w:rPr>
        <w:t>Revision history</w:t>
      </w:r>
    </w:p>
    <w:p>
      <w:r>
        <w:rPr>
          <w:b w:val="0"/>
        </w:rPr>
        <w:t>A published change is a new row. Do not edit an approved version in place.</w:t>
      </w:r>
    </w:p>
    <w:tbl>
      <w:tblPr>
        <w:tblStyle w:val="1033"/>
        <w:tblW w:type="dxa" w:w="10080"/>
        <w:jc w:val="left"/>
        <w:tblLayout w:type="fixed"/>
        <w:tblLook w:firstColumn="1" w:firstRow="1" w:lastColumn="0" w:lastRow="0" w:noHBand="0" w:noVBand="1" w:val="04A0"/>
      </w:tblPr>
      <w:tblGrid>
        <w:gridCol w:w="1288"/>
        <w:gridCol w:w="1720"/>
        <w:gridCol w:w="5505"/>
        <w:gridCol w:w="1567"/>
      </w:tblGrid>
      <w:tr>
        <w:trPr>
          <w:tblHeader/>
          <w:cantSplit/>
        </w:trPr>
        <w:tc>
          <w:tcPr>
            <w:tcW w:type="dxa" w:w="1288"/>
            <w:shd w:fill="F7F9FC"/>
          </w:tcPr>
          <w:p>
            <w:r/>
            <w:r>
              <w:rPr>
                <w:b/>
                <w:color w:val="1F6FEB"/>
                <w:sz w:val="18"/>
              </w:rPr>
              <w:t>Version</w:t>
            </w:r>
          </w:p>
        </w:tc>
        <w:tc>
          <w:tcPr>
            <w:tcW w:type="dxa" w:w="1720"/>
            <w:shd w:fill="F7F9FC"/>
          </w:tcPr>
          <w:p>
            <w:r/>
            <w:r>
              <w:rPr>
                <w:b/>
                <w:color w:val="1F6FEB"/>
                <w:sz w:val="18"/>
              </w:rPr>
              <w:t>Date</w:t>
            </w:r>
          </w:p>
        </w:tc>
        <w:tc>
          <w:tcPr>
            <w:tcW w:type="dxa" w:w="5505"/>
            <w:shd w:fill="F7F9FC"/>
          </w:tcPr>
          <w:p>
            <w:r/>
            <w:r>
              <w:rPr>
                <w:b/>
                <w:color w:val="1F6FEB"/>
                <w:sz w:val="18"/>
              </w:rPr>
              <w:t>Change</w:t>
            </w:r>
          </w:p>
        </w:tc>
        <w:tc>
          <w:tcPr>
            <w:tcW w:type="dxa" w:w="1567"/>
            <w:shd w:fill="F7F9FC"/>
          </w:tcPr>
          <w:p>
            <w:r/>
            <w:r>
              <w:rPr>
                <w:b/>
                <w:color w:val="1F6FEB"/>
                <w:sz w:val="18"/>
              </w:rPr>
              <w:t>Approved by</w:t>
            </w:r>
          </w:p>
        </w:tc>
      </w:tr>
      <w:tr>
        <w:trPr>
          <w:cantSplit/>
        </w:trPr>
        <w:tc>
          <w:tcPr>
            <w:tcW w:type="dxa" w:w="1288"/>
          </w:tcPr>
          <w:p>
            <w:r/>
            <w:r>
              <w:rPr>
                <w:b w:val="0"/>
                <w:color w:val="1F2328"/>
                <w:sz w:val="18"/>
              </w:rPr>
              <w:t>1.0</w:t>
            </w:r>
          </w:p>
        </w:tc>
        <w:tc>
          <w:tcPr>
            <w:tcW w:type="dxa" w:w="1720"/>
          </w:tcPr>
          <w:p>
            <w:r/>
            <w:r>
              <w:rPr>
                <w:b w:val="0"/>
                <w:color w:val="1F2328"/>
                <w:sz w:val="18"/>
              </w:rPr>
              <w:t>2026-08-29</w:t>
            </w:r>
          </w:p>
        </w:tc>
        <w:tc>
          <w:tcPr>
            <w:tcW w:type="dxa" w:w="5505"/>
          </w:tcPr>
          <w:p>
            <w:r/>
            <w:r>
              <w:rPr>
                <w:b w:val="0"/>
                <w:color w:val="1F2328"/>
                <w:sz w:val="18"/>
              </w:rPr>
              <w:t>Initial Arcfield Platform publication.</w:t>
            </w:r>
          </w:p>
        </w:tc>
        <w:tc>
          <w:tcPr>
            <w:tcW w:type="dxa" w:w="1567"/>
          </w:tcPr>
          <w:p>
            <w:r/>
            <w:r>
              <w:rPr>
                <w:b w:val="0"/>
                <w:color w:val="1F2328"/>
                <w:sz w:val="18"/>
              </w:rPr>
              <w:t>Security Lead</w:t>
            </w:r>
          </w:p>
        </w:tc>
      </w:tr>
      <w:tr>
        <w:trPr>
          <w:cantSplit/>
        </w:trPr>
        <w:tc>
          <w:tcPr>
            <w:tcW w:type="dxa" w:w="1288"/>
          </w:tcPr>
          <w:p>
            <w:r/>
            <w:r>
              <w:rPr>
                <w:b w:val="0"/>
                <w:color w:val="1F2328"/>
                <w:sz w:val="18"/>
              </w:rPr>
              <w:t>1.1</w:t>
            </w:r>
          </w:p>
        </w:tc>
        <w:tc>
          <w:tcPr>
            <w:tcW w:type="dxa" w:w="1720"/>
          </w:tcPr>
          <w:p>
            <w:r/>
            <w:r>
              <w:rPr>
                <w:b w:val="0"/>
                <w:color w:val="1F2328"/>
                <w:sz w:val="18"/>
              </w:rPr>
              <w:t>2026-09-11</w:t>
            </w:r>
          </w:p>
        </w:tc>
        <w:tc>
          <w:tcPr>
            <w:tcW w:type="dxa" w:w="5505"/>
          </w:tcPr>
          <w:p>
            <w:r/>
            <w:r>
              <w:rPr>
                <w:b w:val="0"/>
                <w:color w:val="1F2328"/>
                <w:sz w:val="18"/>
              </w:rPr>
              <w:t>Approved Arcfield worked example after the 11 September 2026 internal audit.</w:t>
            </w:r>
          </w:p>
        </w:tc>
        <w:tc>
          <w:tcPr>
            <w:tcW w:type="dxa" w:w="1567"/>
          </w:tcPr>
          <w:p>
            <w:r/>
            <w:r>
              <w:rPr>
                <w:b w:val="0"/>
                <w:color w:val="1F2328"/>
                <w:sz w:val="18"/>
              </w:rPr>
              <w:t>Security Lead</w:t>
            </w:r>
          </w:p>
        </w:tc>
      </w:tr>
    </w:tbl>
    <w:p>
      <w:pPr>
        <w:spacing w:before="0" w:after="120"/>
      </w:pPr>
    </w:p>
    <w:p w14:paraId="0A20EDB8">
      <w:pPr>
        <w:pBdr/>
        <w:spacing/>
        <w:ind/>
        <w:rPr/>
      </w:pPr>
      <w:r>
        <w:rPr>
          <w:highlight w:val="none"/>
        </w:rPr>
      </w:r>
      <w:r>
        <w:rPr>
          <w:highlight w:val="none"/>
        </w:rPr>
      </w:r>
      <w:r/>
    </w:p>
    <w:p w14:paraId="7F176C86">
      <w:pPr>
        <w:pBdr/>
        <w:spacing/>
        <w:ind/>
        <w:rPr>
          <w:highlight w:val="none"/>
        </w:rPr>
      </w:pPr>
      <w:r>
        <w:rPr>
          <w:highlight w:val="none"/>
        </w:rPr>
      </w:r>
      <w:r>
        <w:rPr>
          <w:highlight w:val="none"/>
        </w:rPr>
      </w:r>
      <w:r>
        <w:rPr>
          <w:highlight w:val="none"/>
        </w:rPr>
      </w:r>
    </w:p>
    <w:p w14:paraId="39C4E518">
      <w:pPr>
        <w:pBdr/>
        <w:spacing/>
        <w:ind/>
        <w:rPr>
          <w:highlight w:val="none"/>
        </w:rPr>
      </w:pPr>
      <w:r>
        <w:rPr>
          <w:highlight w:val="none"/>
        </w:rPr>
      </w:r>
      <w:r>
        <w:rPr>
          <w:highlight w:val="none"/>
        </w:rPr>
      </w:r>
      <w:r>
        <w:rPr>
          <w:highlight w:val="none"/>
        </w:rPr>
      </w:r>
    </w:p>
    <w:p>
      <w:pPr>
        <w:pBdr/>
        <w:spacing/>
        <w:ind/>
        <w:rPr>
          <w:highlight w:val="none"/>
        </w:rPr>
      </w:pPr>
      <w:r>
        <w:br w:type="page" w:clear="all"/>
      </w:r>
      <w:r>
        <w:rPr>
          <w:highlight w:val="none"/>
        </w:rPr>
      </w:r>
      <w:r>
        <w:rPr>
          <w:highlight w:val="none"/>
        </w:rPr>
      </w:r>
    </w:p>
    <w:p>
      <w:pPr>
        <w:pBdr/>
        <w:spacing/>
        <w:ind/>
        <w:rPr>
          <w:rFonts w:ascii="Calibri" w:hAnsi="Calibri" w:eastAsia="Calibri" w:cs="Calibri"/>
          <w:b/>
          <w:bCs/>
          <w:color w:val="376092" w:themeColor="accent1" w:themeShade="BF"/>
          <w:sz w:val="28"/>
          <w:szCs w:val="28"/>
          <w14:ligatures w14:val="none"/>
        </w:rPr>
      </w:pPr>
      <w:r>
        <w:rPr>
          <w:rFonts w:ascii="Calibri" w:hAnsi="Calibri" w:eastAsia="Calibri" w:cs="Calibri"/>
          <w:b/>
          <w:bCs/>
          <w:color w:val="376092" w:themeColor="accent1" w:themeShade="BF"/>
          <w:sz w:val="28"/>
          <w:szCs w:val="28"/>
        </w:rPr>
        <w:t xml:space="preserve">Legal Disclaimer</w:t>
      </w:r>
      <w:r>
        <w:rPr>
          <w:rFonts w:ascii="Calibri" w:hAnsi="Calibri" w:eastAsia="Calibri" w:cs="Calibri"/>
          <w:b/>
          <w:bCs/>
          <w:color w:val="376092" w:themeColor="accent1" w:themeShade="BF"/>
          <w:sz w:val="28"/>
          <w:szCs w:val="28"/>
          <w14:ligatures w14:val="none"/>
        </w:rPr>
      </w:r>
      <w:r>
        <w:rPr>
          <w:rFonts w:ascii="Calibri" w:hAnsi="Calibri" w:eastAsia="Calibri" w:cs="Calibri"/>
          <w:b/>
          <w:bCs/>
          <w:color w:val="376092" w:themeColor="accent1" w:themeShade="BF"/>
          <w:sz w:val="28"/>
          <w:szCs w:val="28"/>
          <w14:ligatures w14:val="none"/>
        </w:rPr>
      </w:r>
    </w:p>
    <w:p>
      <w:pPr>
        <w:pBdr/>
        <w:spacing/>
        <w:ind/>
        <w:rPr/>
      </w:pPr>
      <w:r>
        <w:t xml:space="preserve">This companion artifact is provided for implementation support and does not constitute legal advice. Validate all controls, evidence and records against your organisation, scope, risk context and applicable requirements.</w:t>
      </w:r>
      <w:r/>
    </w:p>
    <w:p>
      <w:pPr>
        <w:pBdr/>
        <w:spacing/>
        <w:ind/>
        <w:rPr/>
      </w:pPr>
      <w:r>
        <w:t xml:space="preserve">© </w:t>
      </w:r>
      <w:r>
        <w:rPr>
          <w:lang w:val="es-ES"/>
        </w:rPr>
        <w:t xml:space="preserve">2026. MessemerTech O</w:t>
      </w:r>
      <w:r>
        <w:rPr>
          <w:lang w:val="es-ES"/>
        </w:rPr>
        <w:t xml:space="preserve">Ü</w:t>
      </w:r>
      <w:r>
        <w:t xml:space="preserve">. ExportableProof is an imprint of MessemerTech. All rights reserved.</w:t>
      </w:r>
      <w:r/>
    </w:p>
    <w:p>
      <w:pPr>
        <w:pBdr/>
        <w:spacing/>
        <w:ind/>
        <w:rPr/>
      </w:pPr>
      <w:r>
        <w:br w:type="page" w:clear="all"/>
      </w:r>
      <w:r/>
    </w:p>
    <w:p>
      <w:pPr>
        <w:pStyle w:val="989"/>
        <w:suppressLineNumbers w:val="false"/>
        <w:pBdr>
          <w:top w:val="none" w:color="000000" w:sz="4" w:space="0"/>
          <w:left w:val="none" w:color="000000" w:sz="4" w:space="0"/>
          <w:bottom w:val="none" w:color="000000" w:sz="8" w:space="0"/>
          <w:right w:val="none" w:color="000000" w:sz="4" w:space="0"/>
          <w:between w:val="none" w:color="000000" w:sz="4" w:space="0"/>
        </w:pBdr>
        <w:spacing/>
        <w:ind/>
        <w:rPr>
          <w:b/>
          <w:bCs/>
          <w:color w:val="376092" w:themeColor="accent1" w:themeShade="BF"/>
          <w:sz w:val="28"/>
          <w:szCs w:val="28"/>
        </w:rPr>
      </w:pPr>
      <w:r>
        <w:rPr>
          <w:b/>
          <w:bCs/>
          <w:color w:val="376092" w:themeColor="accent1" w:themeShade="BF"/>
          <w:sz w:val="28"/>
          <w:szCs w:val="28"/>
        </w:rPr>
        <w:t xml:space="preserve">Table of </w:t>
      </w:r>
      <w:r>
        <w:rPr>
          <w:b/>
          <w:bCs/>
          <w:color w:val="376092" w:themeColor="accent1" w:themeShade="BF"/>
          <w:sz w:val="28"/>
          <w:szCs w:val="28"/>
        </w:rPr>
        <w:t xml:space="preserve">Contents</w:t>
      </w:r>
      <w:r>
        <w:rPr>
          <w:b/>
          <w:bCs/>
          <w:color w:val="376092" w:themeColor="accent1" w:themeShade="BF"/>
          <w:sz w:val="28"/>
          <w:szCs w:val="28"/>
        </w:rPr>
      </w:r>
      <w:r>
        <w:rPr>
          <w:b/>
          <w:bCs/>
          <w:color w:val="376092" w:themeColor="accent1" w:themeShade="BF"/>
          <w:sz w:val="28"/>
          <w:szCs w:val="28"/>
        </w:rPr>
      </w:r>
    </w:p>
    <w:sdt>
      <w:sdtPr>
        <w15:appearance w15:val="boundingBox"/>
        <w:placeholder>
          <w:docPart w:val="DefaultPlaceholder_TEXT"/>
        </w:placeholder>
        <w:docPartObj>
          <w:docPartGallery w:val="Table of Contents"/>
          <w:docPartUnique w:val="true"/>
        </w:docPartObj>
        <w:rPr/>
      </w:sdtPr>
      <w:sdtContent>
        <w:p w14:paraId="550DFED3">
          <w:pPr>
            <w:pStyle w:val="957"/>
            <w:pBdr/>
            <w:tabs>
              <w:tab w:val="right" w:leader="dot" w:pos="10080"/>
            </w:tabs>
            <w:spacing/>
            <w:ind/>
            <w:rPr/>
          </w:pPr>
          <w:r>
            <w:fldChar w:fldCharType="begin"/>
          </w:r>
          <w:r>
            <w:instrText xml:space="preserve">TOC \o "1-9" \h </w:instrText>
          </w:r>
          <w:r>
            <w:fldChar w:fldCharType="separate"/>
          </w:r>
          <w:r/>
          <w:r/>
        </w:p>
        <w:p>
          <w:pPr>
            <w:pStyle w:val="957"/>
            <w:tabs>
              <w:tab w:val="right" w:leader="dot" w:pos="10080"/>
            </w:tabs>
          </w:pPr>
          <w:hyperlink w:anchor="_TocRAM001" w:history="1">
            <w:r>
              <w:rPr>
                <w:rStyle w:val="955"/>
              </w:rPr>
              <w:t xml:space="preserve">Systems architecture statement</w:t>
            </w:r>
            <w:r>
              <w:tab/>
            </w:r>
            <w:r>
              <w:fldChar w:fldCharType="begin"/>
              <w:instrText xml:space="preserve"> PAGEREF _TocRAM001 \h </w:instrText>
              <w:fldChar w:fldCharType="separate"/>
              <w:t xml:space="preserve"> </w:t>
              <w:fldChar w:fldCharType="end"/>
            </w:r>
          </w:hyperlink>
        </w:p>
        <w:p>
          <w:pPr>
            <w:pStyle w:val="958"/>
            <w:tabs>
              <w:tab w:val="right" w:leader="dot" w:pos="10080"/>
            </w:tabs>
          </w:pPr>
          <w:hyperlink w:anchor="_TocRAM002" w:history="1">
            <w:r>
              <w:rPr>
                <w:rStyle w:val="955"/>
              </w:rPr>
              <w:t xml:space="preserve">What this statement is</w:t>
            </w:r>
            <w:r>
              <w:tab/>
            </w:r>
            <w:r>
              <w:fldChar w:fldCharType="begin"/>
              <w:instrText xml:space="preserve"> PAGEREF _TocRAM002 \h </w:instrText>
              <w:fldChar w:fldCharType="separate"/>
              <w:t xml:space="preserve"> </w:t>
              <w:fldChar w:fldCharType="end"/>
            </w:r>
          </w:hyperlink>
        </w:p>
        <w:p>
          <w:pPr>
            <w:pStyle w:val="958"/>
            <w:tabs>
              <w:tab w:val="right" w:leader="dot" w:pos="10080"/>
            </w:tabs>
          </w:pPr>
          <w:hyperlink w:anchor="_TocRAM003" w:history="1">
            <w:r>
              <w:rPr>
                <w:rStyle w:val="955"/>
              </w:rPr>
              <w:t xml:space="preserve">Scope of this description</w:t>
            </w:r>
            <w:r>
              <w:tab/>
            </w:r>
            <w:r>
              <w:fldChar w:fldCharType="begin"/>
              <w:instrText xml:space="preserve"> PAGEREF _TocRAM003 \h </w:instrText>
              <w:fldChar w:fldCharType="separate"/>
              <w:t xml:space="preserve"> </w:t>
              <w:fldChar w:fldCharType="end"/>
            </w:r>
          </w:hyperlink>
        </w:p>
        <w:p>
          <w:pPr>
            <w:pStyle w:val="958"/>
            <w:tabs>
              <w:tab w:val="right" w:leader="dot" w:pos="10080"/>
            </w:tabs>
          </w:pPr>
          <w:hyperlink w:anchor="_TocRAM004" w:history="1">
            <w:r>
              <w:rPr>
                <w:rStyle w:val="955"/>
              </w:rPr>
              <w:t xml:space="preserve">Terms used here</w:t>
            </w:r>
            <w:r>
              <w:tab/>
            </w:r>
            <w:r>
              <w:fldChar w:fldCharType="begin"/>
              <w:instrText xml:space="preserve"> PAGEREF _TocRAM004 \h </w:instrText>
              <w:fldChar w:fldCharType="separate"/>
              <w:t xml:space="preserve"> </w:t>
              <w:fldChar w:fldCharType="end"/>
            </w:r>
          </w:hyperlink>
        </w:p>
        <w:p>
          <w:pPr>
            <w:pStyle w:val="958"/>
            <w:tabs>
              <w:tab w:val="right" w:leader="dot" w:pos="10080"/>
            </w:tabs>
          </w:pPr>
          <w:hyperlink w:anchor="_TocRAM005" w:history="1">
            <w:r>
              <w:rPr>
                <w:rStyle w:val="955"/>
              </w:rPr>
              <w:t xml:space="preserve">Service and use cases</w:t>
            </w:r>
            <w:r>
              <w:tab/>
            </w:r>
            <w:r>
              <w:fldChar w:fldCharType="begin"/>
              <w:instrText xml:space="preserve"> PAGEREF _TocRAM005 \h </w:instrText>
              <w:fldChar w:fldCharType="separate"/>
              <w:t xml:space="preserve"> </w:t>
              <w:fldChar w:fldCharType="end"/>
            </w:r>
          </w:hyperlink>
        </w:p>
        <w:p>
          <w:pPr>
            <w:pStyle w:val="958"/>
            <w:tabs>
              <w:tab w:val="right" w:leader="dot" w:pos="10080"/>
            </w:tabs>
          </w:pPr>
          <w:hyperlink w:anchor="_TocRAM006" w:history="1">
            <w:r>
              <w:rPr>
                <w:rStyle w:val="955"/>
              </w:rPr>
              <w:t xml:space="preserve">System boundary and architecture</w:t>
            </w:r>
            <w:r>
              <w:tab/>
            </w:r>
            <w:r>
              <w:fldChar w:fldCharType="begin"/>
              <w:instrText xml:space="preserve"> PAGEREF _TocRAM006 \h </w:instrText>
              <w:fldChar w:fldCharType="separate"/>
              <w:t xml:space="preserve"> </w:t>
              <w:fldChar w:fldCharType="end"/>
            </w:r>
          </w:hyperlink>
        </w:p>
        <w:p>
          <w:pPr>
            <w:pStyle w:val="958"/>
            <w:tabs>
              <w:tab w:val="right" w:leader="dot" w:pos="10080"/>
            </w:tabs>
          </w:pPr>
          <w:hyperlink w:anchor="_TocRAM007" w:history="1">
            <w:r>
              <w:rPr>
                <w:rStyle w:val="955"/>
              </w:rPr>
              <w:t xml:space="preserve">How to read the diagram</w:t>
            </w:r>
            <w:r>
              <w:tab/>
            </w:r>
            <w:r>
              <w:fldChar w:fldCharType="begin"/>
              <w:instrText xml:space="preserve"> PAGEREF _TocRAM007 \h </w:instrText>
              <w:fldChar w:fldCharType="separate"/>
              <w:t xml:space="preserve"> </w:t>
              <w:fldChar w:fldCharType="end"/>
            </w:r>
          </w:hyperlink>
        </w:p>
        <w:p>
          <w:pPr>
            <w:pStyle w:val="959"/>
            <w:tabs>
              <w:tab w:val="right" w:leader="dot" w:pos="10080"/>
            </w:tabs>
          </w:pPr>
          <w:hyperlink w:anchor="_TocRAM008" w:history="1">
            <w:r>
              <w:rPr>
                <w:rStyle w:val="955"/>
              </w:rPr>
              <w:t xml:space="preserve">Trust boundaries</w:t>
            </w:r>
            <w:r>
              <w:tab/>
            </w:r>
            <w:r>
              <w:fldChar w:fldCharType="begin"/>
              <w:instrText xml:space="preserve"> PAGEREF _TocRAM008 \h </w:instrText>
              <w:fldChar w:fldCharType="separate"/>
              <w:t xml:space="preserve"> </w:t>
              <w:fldChar w:fldCharType="end"/>
            </w:r>
          </w:hyperlink>
        </w:p>
        <w:p>
          <w:pPr>
            <w:pStyle w:val="959"/>
            <w:tabs>
              <w:tab w:val="right" w:leader="dot" w:pos="10080"/>
            </w:tabs>
          </w:pPr>
          <w:hyperlink w:anchor="_TocRAM009" w:history="1">
            <w:r>
              <w:rPr>
                <w:rStyle w:val="955"/>
              </w:rPr>
              <w:t xml:space="preserve">Data flows and encryption</w:t>
            </w:r>
            <w:r>
              <w:tab/>
            </w:r>
            <w:r>
              <w:fldChar w:fldCharType="begin"/>
              <w:instrText xml:space="preserve"> PAGEREF _TocRAM009 \h </w:instrText>
              <w:fldChar w:fldCharType="separate"/>
              <w:t xml:space="preserve"> </w:t>
              <w:fldChar w:fldCharType="end"/>
            </w:r>
          </w:hyperlink>
        </w:p>
        <w:p>
          <w:pPr>
            <w:pStyle w:val="959"/>
            <w:tabs>
              <w:tab w:val="right" w:leader="dot" w:pos="10080"/>
            </w:tabs>
          </w:pPr>
          <w:hyperlink w:anchor="_TocRAM010" w:history="1">
            <w:r>
              <w:rPr>
                <w:rStyle w:val="955"/>
              </w:rPr>
              <w:t xml:space="preserve">Component colours</w:t>
            </w:r>
            <w:r>
              <w:tab/>
            </w:r>
            <w:r>
              <w:fldChar w:fldCharType="begin"/>
              <w:instrText xml:space="preserve"> PAGEREF _TocRAM010 \h </w:instrText>
              <w:fldChar w:fldCharType="separate"/>
              <w:t xml:space="preserve"> </w:t>
              <w:fldChar w:fldCharType="end"/>
            </w:r>
          </w:hyperlink>
        </w:p>
        <w:p>
          <w:pPr>
            <w:pStyle w:val="959"/>
            <w:tabs>
              <w:tab w:val="right" w:leader="dot" w:pos="10080"/>
            </w:tabs>
          </w:pPr>
          <w:hyperlink w:anchor="_TocRAM011" w:history="1">
            <w:r>
              <w:rPr>
                <w:rStyle w:val="955"/>
              </w:rPr>
              <w:t xml:space="preserve">Tenant isolation</w:t>
            </w:r>
            <w:r>
              <w:tab/>
            </w:r>
            <w:r>
              <w:fldChar w:fldCharType="begin"/>
              <w:instrText xml:space="preserve"> PAGEREF _TocRAM011 \h </w:instrText>
              <w:fldChar w:fldCharType="separate"/>
              <w:t xml:space="preserve"> </w:t>
              <w:fldChar w:fldCharType="end"/>
            </w:r>
          </w:hyperlink>
        </w:p>
        <w:p>
          <w:pPr>
            <w:pStyle w:val="959"/>
            <w:tabs>
              <w:tab w:val="right" w:leader="dot" w:pos="10080"/>
            </w:tabs>
          </w:pPr>
          <w:hyperlink w:anchor="_TocRAM012" w:history="1">
            <w:r>
              <w:rPr>
                <w:rStyle w:val="955"/>
              </w:rPr>
              <w:t xml:space="preserve">Data location</w:t>
            </w:r>
            <w:r>
              <w:tab/>
            </w:r>
            <w:r>
              <w:fldChar w:fldCharType="begin"/>
              <w:instrText xml:space="preserve"> PAGEREF _TocRAM012 \h </w:instrText>
              <w:fldChar w:fldCharType="separate"/>
              <w:t xml:space="preserve"> </w:t>
              <w:fldChar w:fldCharType="end"/>
            </w:r>
          </w:hyperlink>
        </w:p>
        <w:p>
          <w:pPr>
            <w:pStyle w:val="959"/>
            <w:tabs>
              <w:tab w:val="right" w:leader="dot" w:pos="10080"/>
            </w:tabs>
          </w:pPr>
          <w:hyperlink w:anchor="_TocRAM013" w:history="1">
            <w:r>
              <w:rPr>
                <w:rStyle w:val="955"/>
              </w:rPr>
              <w:t xml:space="preserve">Access control</w:t>
            </w:r>
            <w:r>
              <w:tab/>
            </w:r>
            <w:r>
              <w:fldChar w:fldCharType="begin"/>
              <w:instrText xml:space="preserve"> PAGEREF _TocRAM013 \h </w:instrText>
              <w:fldChar w:fldCharType="separate"/>
              <w:t xml:space="preserve"> </w:t>
              <w:fldChar w:fldCharType="end"/>
            </w:r>
          </w:hyperlink>
        </w:p>
        <w:p>
          <w:pPr>
            <w:pStyle w:val="958"/>
            <w:tabs>
              <w:tab w:val="right" w:leader="dot" w:pos="10080"/>
            </w:tabs>
          </w:pPr>
          <w:hyperlink w:anchor="_TocRAM014" w:history="1">
            <w:r>
              <w:rPr>
                <w:rStyle w:val="955"/>
              </w:rPr>
              <w:t xml:space="preserve">Shared responsibility</w:t>
            </w:r>
            <w:r>
              <w:tab/>
            </w:r>
            <w:r>
              <w:fldChar w:fldCharType="begin"/>
              <w:instrText xml:space="preserve"> PAGEREF _TocRAM014 \h </w:instrText>
              <w:fldChar w:fldCharType="separate"/>
              <w:t xml:space="preserve"> </w:t>
              <w:fldChar w:fldCharType="end"/>
            </w:r>
          </w:hyperlink>
        </w:p>
        <w:p>
          <w:pPr>
            <w:pStyle w:val="958"/>
            <w:tabs>
              <w:tab w:val="right" w:leader="dot" w:pos="10080"/>
            </w:tabs>
          </w:pPr>
          <w:hyperlink w:anchor="_TocRAM015" w:history="1">
            <w:r>
              <w:rPr>
                <w:rStyle w:val="955"/>
              </w:rPr>
              <w:t xml:space="preserve">Complementary user entity controls</w:t>
            </w:r>
            <w:r>
              <w:tab/>
            </w:r>
            <w:r>
              <w:fldChar w:fldCharType="begin"/>
              <w:instrText xml:space="preserve"> PAGEREF _TocRAM015 \h </w:instrText>
              <w:fldChar w:fldCharType="separate"/>
              <w:t xml:space="preserve"> </w:t>
              <w:fldChar w:fldCharType="end"/>
            </w:r>
          </w:hyperlink>
        </w:p>
        <w:p>
          <w:pPr>
            <w:pStyle w:val="958"/>
            <w:tabs>
              <w:tab w:val="right" w:leader="dot" w:pos="10080"/>
            </w:tabs>
          </w:pPr>
          <w:hyperlink w:anchor="_TocRAM016" w:history="1">
            <w:r>
              <w:rPr>
                <w:rStyle w:val="955"/>
              </w:rPr>
              <w:t xml:space="preserve">Data types, locations and jurisdiction</w:t>
            </w:r>
            <w:r>
              <w:tab/>
            </w:r>
            <w:r>
              <w:fldChar w:fldCharType="begin"/>
              <w:instrText xml:space="preserve"> PAGEREF _TocRAM016 \h </w:instrText>
              <w:fldChar w:fldCharType="separate"/>
              <w:t xml:space="preserve"> </w:t>
              <w:fldChar w:fldCharType="end"/>
            </w:r>
          </w:hyperlink>
        </w:p>
        <w:p>
          <w:pPr>
            <w:pStyle w:val="958"/>
            <w:tabs>
              <w:tab w:val="right" w:leader="dot" w:pos="10080"/>
            </w:tabs>
          </w:pPr>
          <w:hyperlink w:anchor="_TocRAM017" w:history="1">
            <w:r>
              <w:rPr>
                <w:rStyle w:val="955"/>
              </w:rPr>
              <w:t xml:space="preserve">Subprocessors and suppliers</w:t>
            </w:r>
            <w:r>
              <w:tab/>
            </w:r>
            <w:r>
              <w:fldChar w:fldCharType="begin"/>
              <w:instrText xml:space="preserve"> PAGEREF _TocRAM017 \h </w:instrText>
              <w:fldChar w:fldCharType="separate"/>
              <w:t xml:space="preserve"> </w:t>
              <w:fldChar w:fldCharType="end"/>
            </w:r>
          </w:hyperlink>
        </w:p>
        <w:p>
          <w:pPr>
            <w:pStyle w:val="958"/>
            <w:tabs>
              <w:tab w:val="right" w:leader="dot" w:pos="10080"/>
            </w:tabs>
          </w:pPr>
          <w:hyperlink w:anchor="_TocRAM018" w:history="1">
            <w:r>
              <w:rPr>
                <w:rStyle w:val="955"/>
              </w:rPr>
              <w:t xml:space="preserve">Organization and roles</w:t>
            </w:r>
            <w:r>
              <w:tab/>
            </w:r>
            <w:r>
              <w:fldChar w:fldCharType="begin"/>
              <w:instrText xml:space="preserve"> PAGEREF _TocRAM018 \h </w:instrText>
              <w:fldChar w:fldCharType="separate"/>
              <w:t xml:space="preserve"> </w:t>
              <w:fldChar w:fldCharType="end"/>
            </w:r>
          </w:hyperlink>
        </w:p>
        <w:p>
          <w:pPr>
            <w:pStyle w:val="958"/>
            <w:tabs>
              <w:tab w:val="right" w:leader="dot" w:pos="10080"/>
            </w:tabs>
          </w:pPr>
          <w:hyperlink w:anchor="_TocRAM019" w:history="1">
            <w:r>
              <w:rPr>
                <w:rStyle w:val="955"/>
              </w:rPr>
              <w:t xml:space="preserve">Controls on this architecture</w:t>
            </w:r>
            <w:r>
              <w:tab/>
            </w:r>
            <w:r>
              <w:fldChar w:fldCharType="begin"/>
              <w:instrText xml:space="preserve"> PAGEREF _TocRAM019 \h </w:instrText>
              <w:fldChar w:fldCharType="separate"/>
              <w:t xml:space="preserve"> </w:t>
              <w:fldChar w:fldCharType="end"/>
            </w:r>
          </w:hyperlink>
        </w:p>
        <w:p>
          <w:pPr>
            <w:pStyle w:val="958"/>
            <w:tabs>
              <w:tab w:val="right" w:leader="dot" w:pos="10080"/>
            </w:tabs>
          </w:pPr>
          <w:hyperlink w:anchor="_TocRAM020" w:history="1">
            <w:r>
              <w:rPr>
                <w:rStyle w:val="955"/>
              </w:rPr>
              <w:t xml:space="preserve">Evidence index</w:t>
            </w:r>
            <w:r>
              <w:tab/>
            </w:r>
            <w:r>
              <w:fldChar w:fldCharType="begin"/>
              <w:instrText xml:space="preserve"> PAGEREF _TocRAM020 \h </w:instrText>
              <w:fldChar w:fldCharType="separate"/>
              <w:t xml:space="preserve"> </w:t>
              <w:fldChar w:fldCharType="end"/>
            </w:r>
          </w:hyperlink>
        </w:p>
        <w:p>
          <w:pPr>
            <w:pStyle w:val="957"/>
            <w:tabs>
              <w:tab w:val="right" w:leader="dot" w:pos="10080"/>
            </w:tabs>
          </w:pPr>
          <w:hyperlink w:anchor="_TocRAM021" w:history="1">
            <w:r>
              <w:rPr>
                <w:rStyle w:val="955"/>
              </w:rPr>
              <w:t xml:space="preserve">Evidence and records</w:t>
            </w:r>
            <w:r>
              <w:tab/>
            </w:r>
            <w:r>
              <w:fldChar w:fldCharType="begin"/>
              <w:instrText xml:space="preserve"> PAGEREF _TocRAM021 \h </w:instrText>
              <w:fldChar w:fldCharType="separate"/>
              <w:t xml:space="preserve"> </w:t>
              <w:fldChar w:fldCharType="end"/>
            </w:r>
          </w:hyperlink>
        </w:p>
        <w:p>
          <w:pPr>
            <w:pStyle w:val="957"/>
            <w:tabs>
              <w:tab w:val="right" w:leader="dot" w:pos="10080"/>
            </w:tabs>
          </w:pPr>
          <w:hyperlink w:anchor="_TocRAM022" w:history="1">
            <w:r>
              <w:rPr>
                <w:rStyle w:val="955"/>
              </w:rPr>
              <w:t xml:space="preserve">References</w:t>
            </w:r>
            <w:r>
              <w:tab/>
            </w:r>
            <w:r>
              <w:fldChar w:fldCharType="begin"/>
              <w:instrText xml:space="preserve"> PAGEREF _TocRAM022 \h </w:instrText>
              <w:fldChar w:fldCharType="separate"/>
              <w:t xml:space="preserve"> </w:t>
              <w:fldChar w:fldCharType="end"/>
            </w:r>
          </w:hyperlink>
        </w:p>
        <w:p>
          <w:pPr>
            <w:pStyle w:val="958"/>
            <w:tabs>
              <w:tab w:val="right" w:leader="dot" w:pos="10080"/>
            </w:tabs>
          </w:pPr>
          <w:hyperlink w:anchor="_TocRAM023" w:history="1">
            <w:r>
              <w:rPr>
                <w:rStyle w:val="955"/>
              </w:rPr>
              <w:t xml:space="preserve">Linked documents</w:t>
            </w:r>
            <w:r>
              <w:tab/>
            </w:r>
            <w:r>
              <w:fldChar w:fldCharType="begin"/>
              <w:instrText xml:space="preserve"> PAGEREF _TocRAM023 \h </w:instrText>
              <w:fldChar w:fldCharType="separate"/>
              <w:t xml:space="preserve"> </w:t>
              <w:fldChar w:fldCharType="end"/>
            </w:r>
          </w:hyperlink>
        </w:p>
        <w:p>
          <w:pPr>
            <w:pStyle w:val="958"/>
            <w:tabs>
              <w:tab w:val="right" w:leader="dot" w:pos="10080"/>
            </w:tabs>
          </w:pPr>
          <w:hyperlink w:anchor="_TocRAM024" w:history="1">
            <w:r>
              <w:rPr>
                <w:rStyle w:val="955"/>
              </w:rPr>
              <w:t xml:space="preserve">External references</w:t>
            </w:r>
            <w:r>
              <w:tab/>
            </w:r>
            <w:r>
              <w:fldChar w:fldCharType="begin"/>
              <w:instrText xml:space="preserve"> PAGEREF _TocRAM024 \h </w:instrText>
              <w:fldChar w:fldCharType="separate"/>
              <w:t xml:space="preserve"> </w:t>
              <w:fldChar w:fldCharType="end"/>
            </w:r>
          </w:hyperlink>
        </w:p>
        <w:p w14:paraId="2B72CC78">
          <w:pPr>
            <w:pBdr/>
            <w:spacing/>
            <w:ind/>
            <w:rPr/>
          </w:pPr>
          <w:r>
            <w:fldChar w:fldCharType="end"/>
          </w:r>
          <w:r/>
        </w:p>
      </w:sdtContent>
    </w:sdt>
    <w:p>
      <w:r>
        <w:br w:type="page"/>
      </w:r>
    </w:p>
    <w:p>
      <w:pPr>
        <w:keepNext w:val="true"/>
        <w:keepLines w:val="true"/>
        <w:pBdr/>
        <w:spacing w:after="0" w:before="480"/>
        <w:ind/>
        <w:outlineLvl w:val="9"/>
      </w:pPr>
      <w:bookmarkStart w:id="1" w:name="ref_instructions"/>
      <w:r>
        <w:rPr>
          <w:rFonts w:asciiTheme="majorHAnsi" w:hAnsiTheme="majorHAnsi" w:eastAsiaTheme="majorEastAsia" w:cstheme="majorBidi"/>
          <w:b/>
          <w:bCs/>
          <w:color w:val="365f91" w:themeColor="accent1" w:themeShade="BF"/>
          <w:sz w:val="28"/>
          <w:szCs w:val="28"/>
        </w:rPr>
        <w:t>Instructions</w:t>
      </w:r>
      <w:bookmarkEnd w:id="1"/>
    </w:p>
    <w:p>
      <w:r>
        <w:rPr>
          <w:b w:val="0"/>
        </w:rPr>
        <w:t>Copy this file as the controlled Word master for your ISMS. The Arcfield identity fields on the cover are the approved worked example. Complete the steps below when you adopt the file for your organization.</w:t>
      </w:r>
    </w:p>
    <w:p>
      <w:pPr>
        <w:pStyle w:val="1006"/>
        <w:ind w:left="360" w:hanging="259"/>
        <w:numPr>
          <w:ilvl w:val="0"/>
          <w:numId w:val="10"/>
        </w:numPr>
      </w:pPr>
      <w:r>
        <w:rPr>
          <w:b w:val="0"/>
        </w:rPr>
        <w:t>Fill the cover identity fields (Organization, Version, Classification, Owner, Approver, Effective Date and Next Review Date) when you adopt this file. The Arcfield values shown here are the approved worked example.</w:t>
      </w:r>
    </w:p>
    <w:p>
      <w:pPr>
        <w:pStyle w:val="1006"/>
        <w:ind w:left="360" w:hanging="259"/>
        <w:numPr>
          <w:ilvl w:val="0"/>
          <w:numId w:val="10"/>
        </w:numPr>
      </w:pPr>
      <w:r>
        <w:rPr>
          <w:b w:val="0"/>
        </w:rPr>
        <w:t>Issue your own version and a new Revision history row. Do not edit an approved version in place.</w:t>
      </w:r>
    </w:p>
    <w:p>
      <w:pPr>
        <w:pStyle w:val="1006"/>
        <w:ind w:left="360" w:hanging="259"/>
        <w:numPr>
          <w:ilvl w:val="0"/>
          <w:numId w:val="10"/>
        </w:numPr>
      </w:pPr>
      <w:r>
        <w:rPr>
          <w:b w:val="0"/>
        </w:rPr>
        <w:t>Cite this approved version from related records. Do not copy this file into those records.</w:t>
      </w:r>
    </w:p>
    <w:p>
      <w:pPr>
        <w:spacing w:after="0"/>
      </w:pPr>
    </w:p>
    <w:tbl>
      <w:tblPr>
        <w:tblStyle w:val="1033"/>
        <w:tblW w:type="auto" w:w="0"/>
        <w:tblLook w:firstColumn="1" w:firstRow="1" w:lastColumn="0" w:lastRow="0" w:noHBand="0" w:noVBand="1" w:val="04A0"/>
      </w:tblPr>
      <w:tblGrid>
        <w:gridCol w:w="10080"/>
      </w:tblGrid>
      <w:tr>
        <w:tc>
          <w:tcPr>
            <w:tcW w:type="dxa" w:w="10080"/>
            <w:shd w:fill="EAF3FF"/>
            <w:tcBorders>
              <w:top w:val="single" w:sz="8" w:space="0" w:color="8CB4FF"/>
              <w:left w:val="single" w:sz="8" w:space="0" w:color="8CB4FF"/>
              <w:bottom w:val="single" w:sz="8" w:space="0" w:color="8CB4FF"/>
              <w:right w:val="single" w:sz="8" w:space="0" w:color="8CB4FF"/>
            </w:tcBorders>
          </w:tcPr>
          <w:p>
            <w:pPr>
              <w:spacing w:before="80" w:after="80"/>
              <w:jc w:val="left"/>
            </w:pPr>
            <w:r>
              <w:rPr>
                <w:b w:val="0"/>
              </w:rPr>
              <w:t>Hint: Apply Instructions with named owners, systems and exportable evidence. Do not leave this chapter as a heading plus a bare table.</w:t>
              <w:br/>
              <w:br/>
              <w:t>Book reference: Building the ISMS, Context of the Organization (Clause 4)</w:t>
            </w:r>
          </w:p>
        </w:tc>
      </w:tr>
    </w:tbl>
    <w:p>
      <w:r>
        <w:br w:type="page"/>
      </w:r>
    </w:p>
    <w:p>
      <w:pPr>
        <w:pStyle w:val="973"/>
        <w:outlineLvl w:val="0"/>
      </w:pPr>
      <w:bookmarkStart w:id="4" w:name="_TocRAM001"/>
      <w:r>
        <w:t>Systems architecture statement</w:t>
      </w:r>
      <w:bookmarkEnd w:id="4"/>
    </w:p>
    <w:p>
      <w:pPr>
        <w:pStyle w:val="974"/>
        <w:outlineLvl w:val="1"/>
      </w:pPr>
      <w:bookmarkStart w:id="5" w:name="_TocRAM002"/>
      <w:r>
        <w:t>What this statement is</w:t>
      </w:r>
      <w:bookmarkEnd w:id="5"/>
    </w:p>
    <w:p>
      <w:r>
        <w:rPr>
          <w:b w:val="0"/>
        </w:rPr>
        <w:t>This document is Arcfield's Systems Architecture Statement for the Information Security Management System (ISMS). It describes Arcfield Platform, the B2B SaaS (Software as a Service) platform for regulated fintech and health customers, as a set of named systems, trust boundaries, data locations and shared-responsibility splits that auditors can sample. It is not the ISMS Scope Statement, not the Statement of Applicability, and not a C5 Type 1 or Type 2 attest report. The Scope Statement (ISS) sets the ISMS boundary. This file explains how the in-scope service is built and operated. Cite this Document Control version from risk, supplier and evidence records. Do not copy these paragraphs into those records.</w:t>
      </w:r>
    </w:p>
    <w:p>
      <w:pPr>
        <w:pStyle w:val="974"/>
        <w:outlineLvl w:val="1"/>
      </w:pPr>
      <w:bookmarkStart w:id="6" w:name="_TocRAM003"/>
      <w:r>
        <w:t>Scope of this description</w:t>
      </w:r>
      <w:bookmarkEnd w:id="6"/>
    </w:p>
    <w:p>
      <w:r>
        <w:rPr>
          <w:b w:val="0"/>
        </w:rPr>
        <w:t>Use this table before you treat a component as in-scope for this architecture statement or leave it to another record.</w:t>
      </w:r>
    </w:p>
    <w:tbl>
      <w:tblPr>
        <w:tblStyle w:val="1033"/>
        <w:tblW w:type="dxa" w:w="10080"/>
        <w:jc w:val="left"/>
        <w:tblLayout w:type="fixed"/>
        <w:tblLook w:firstColumn="1" w:firstRow="1" w:lastColumn="0" w:lastRow="0" w:noHBand="0" w:noVBand="1" w:val="04A0"/>
      </w:tblPr>
      <w:tblGrid>
        <w:gridCol w:w="3957"/>
        <w:gridCol w:w="2296"/>
        <w:gridCol w:w="2062"/>
        <w:gridCol w:w="1765"/>
      </w:tblGrid>
      <w:tr>
        <w:trPr>
          <w:tblHeader/>
          <w:cantSplit/>
        </w:trPr>
        <w:tc>
          <w:tcPr>
            <w:tcW w:type="dxa" w:w="3957"/>
            <w:shd w:fill="F7F9FC"/>
          </w:tcPr>
          <w:p>
            <w:r/>
            <w:r>
              <w:rPr>
                <w:b/>
                <w:color w:val="1F6FEB"/>
                <w:sz w:val="18"/>
              </w:rPr>
              <w:t>In this document</w:t>
            </w:r>
          </w:p>
        </w:tc>
        <w:tc>
          <w:tcPr>
            <w:tcW w:type="dxa" w:w="2296"/>
            <w:shd w:fill="F7F9FC"/>
          </w:tcPr>
          <w:p>
            <w:r/>
            <w:r>
              <w:rPr>
                <w:b/>
                <w:color w:val="1F6FEB"/>
                <w:sz w:val="18"/>
              </w:rPr>
              <w:t>Not in this document</w:t>
            </w:r>
          </w:p>
        </w:tc>
        <w:tc>
          <w:tcPr>
            <w:tcW w:type="dxa" w:w="2062"/>
            <w:shd w:fill="F7F9FC"/>
          </w:tcPr>
          <w:p>
            <w:r/>
            <w:r>
              <w:rPr>
                <w:b/>
                <w:color w:val="1F6FEB"/>
                <w:sz w:val="18"/>
              </w:rPr>
              <w:t>Evidence reference</w:t>
            </w:r>
          </w:p>
        </w:tc>
        <w:tc>
          <w:tcPr>
            <w:tcW w:type="dxa" w:w="1765"/>
            <w:shd w:fill="F7F9FC"/>
          </w:tcPr>
          <w:p>
            <w:r/>
            <w:r>
              <w:rPr>
                <w:b/>
                <w:color w:val="1F6FEB"/>
                <w:sz w:val="18"/>
              </w:rPr>
              <w:t>Evidence status</w:t>
            </w:r>
          </w:p>
        </w:tc>
      </w:tr>
      <w:tr>
        <w:trPr>
          <w:cantSplit/>
        </w:trPr>
        <w:tc>
          <w:tcPr>
            <w:tcW w:type="dxa" w:w="3957"/>
          </w:tcPr>
          <w:p>
            <w:r/>
            <w:r>
              <w:rPr>
                <w:b w:val="0"/>
                <w:color w:val="1F2328"/>
                <w:sz w:val="18"/>
              </w:rPr>
              <w:t>Arcfield Platform production, the identity path, CI/CD, logging, backup restore, support tooling and the evidence store that can affect confidentiality, integrity or availability of in-scope customer data.</w:t>
            </w:r>
          </w:p>
        </w:tc>
        <w:tc>
          <w:tcPr>
            <w:tcW w:type="dxa" w:w="2296"/>
          </w:tcPr>
          <w:p>
            <w:r/>
            <w:r>
              <w:rPr>
                <w:b w:val="0"/>
                <w:color w:val="1F2328"/>
                <w:sz w:val="18"/>
              </w:rPr>
              <w:t>The ISMS organisational boundary itself. That freeze lives in ISS.</w:t>
            </w:r>
          </w:p>
        </w:tc>
        <w:tc>
          <w:tcPr>
            <w:tcW w:type="dxa" w:w="2062"/>
          </w:tcPr>
          <w:p>
            <w:r/>
            <w:r>
              <w:rPr>
                <w:b w:val="0"/>
                <w:color w:val="1F2328"/>
                <w:sz w:val="18"/>
              </w:rPr>
              <w:t>SAS-EV-001</w:t>
            </w:r>
          </w:p>
        </w:tc>
        <w:tc>
          <w:tcPr>
            <w:tcW w:type="dxa" w:w="1765"/>
          </w:tcPr>
          <w:p>
            <w:r/>
            <w:r>
              <w:rPr>
                <w:b w:val="0"/>
                <w:color w:val="1F2328"/>
                <w:sz w:val="18"/>
              </w:rPr>
              <w:t>Complete</w:t>
            </w:r>
          </w:p>
        </w:tc>
      </w:tr>
      <w:tr>
        <w:trPr>
          <w:cantSplit/>
        </w:trPr>
        <w:tc>
          <w:tcPr>
            <w:tcW w:type="dxa" w:w="3957"/>
          </w:tcPr>
          <w:p>
            <w:r/>
            <w:r>
              <w:rPr>
                <w:b w:val="0"/>
                <w:color w:val="1F2328"/>
                <w:sz w:val="18"/>
              </w:rPr>
              <w:t>Shared-responsibility splits with the cloud host, identity provider, backup provider and support platform.</w:t>
            </w:r>
          </w:p>
        </w:tc>
        <w:tc>
          <w:tcPr>
            <w:tcW w:type="dxa" w:w="2296"/>
          </w:tcPr>
          <w:p>
            <w:r/>
            <w:r>
              <w:rPr>
                <w:b w:val="0"/>
                <w:color w:val="1F2328"/>
                <w:sz w:val="18"/>
              </w:rPr>
              <w:t>Annex A control selection. That freeze lives in the Statement of Applicability.</w:t>
            </w:r>
          </w:p>
        </w:tc>
        <w:tc>
          <w:tcPr>
            <w:tcW w:type="dxa" w:w="2062"/>
          </w:tcPr>
          <w:p>
            <w:r/>
            <w:r>
              <w:rPr>
                <w:b w:val="0"/>
                <w:color w:val="1F2328"/>
                <w:sz w:val="18"/>
              </w:rPr>
              <w:t>SAS-EV-001</w:t>
            </w:r>
          </w:p>
        </w:tc>
        <w:tc>
          <w:tcPr>
            <w:tcW w:type="dxa" w:w="1765"/>
          </w:tcPr>
          <w:p>
            <w:r/>
            <w:r>
              <w:rPr>
                <w:b w:val="0"/>
                <w:color w:val="1F2328"/>
                <w:sz w:val="18"/>
              </w:rPr>
              <w:t>Complete</w:t>
            </w:r>
          </w:p>
        </w:tc>
      </w:tr>
      <w:tr>
        <w:trPr>
          <w:cantSplit/>
        </w:trPr>
        <w:tc>
          <w:tcPr>
            <w:tcW w:type="dxa" w:w="3957"/>
          </w:tcPr>
          <w:p>
            <w:r/>
            <w:r>
              <w:rPr>
                <w:b w:val="0"/>
                <w:color w:val="1F2328"/>
                <w:sz w:val="18"/>
              </w:rPr>
              <w:t>Data types, regions and subprocessors that carry Arcfield Platform customer configuration or support data with customer PII.</w:t>
            </w:r>
          </w:p>
        </w:tc>
        <w:tc>
          <w:tcPr>
            <w:tcW w:type="dxa" w:w="2296"/>
          </w:tcPr>
          <w:p>
            <w:r/>
            <w:r>
              <w:rPr>
                <w:b w:val="0"/>
                <w:color w:val="1F2328"/>
                <w:sz w:val="18"/>
              </w:rPr>
              <w:t>Live register rows, tickets or minutes. Those cite this Document Control version.</w:t>
            </w:r>
          </w:p>
        </w:tc>
        <w:tc>
          <w:tcPr>
            <w:tcW w:type="dxa" w:w="2062"/>
          </w:tcPr>
          <w:p>
            <w:r/>
            <w:r>
              <w:rPr>
                <w:b w:val="0"/>
                <w:color w:val="1F2328"/>
                <w:sz w:val="18"/>
              </w:rPr>
              <w:t>SAS-EV-001</w:t>
            </w:r>
          </w:p>
        </w:tc>
        <w:tc>
          <w:tcPr>
            <w:tcW w:type="dxa" w:w="1765"/>
          </w:tcPr>
          <w:p>
            <w:r/>
            <w:r>
              <w:rPr>
                <w:b w:val="0"/>
                <w:color w:val="1F2328"/>
                <w:sz w:val="18"/>
              </w:rPr>
              <w:t>Complete</w:t>
            </w:r>
          </w:p>
        </w:tc>
      </w:tr>
      <w:tr>
        <w:trPr>
          <w:cantSplit/>
        </w:trPr>
        <w:tc>
          <w:tcPr>
            <w:tcW w:type="dxa" w:w="3957"/>
          </w:tcPr>
          <w:p>
            <w:r/>
            <w:r>
              <w:rPr>
                <w:b w:val="0"/>
                <w:color w:val="1F2328"/>
                <w:sz w:val="18"/>
              </w:rPr>
              <w:t>Complementary user entity controls (CUEC): the process, the template customer organizations fill, and which customer-side controls stay with the customer.</w:t>
            </w:r>
          </w:p>
        </w:tc>
        <w:tc>
          <w:tcPr>
            <w:tcW w:type="dxa" w:w="2296"/>
          </w:tcPr>
          <w:p>
            <w:r/>
            <w:r>
              <w:rPr>
                <w:b w:val="0"/>
                <w:color w:val="1F2328"/>
                <w:sz w:val="18"/>
              </w:rPr>
              <w:t>Customer evidence packs, a C5 Type 1 or Type 2 report, a BSI audit programme, or a second Document Control table.</w:t>
            </w:r>
          </w:p>
        </w:tc>
        <w:tc>
          <w:tcPr>
            <w:tcW w:type="dxa" w:w="2062"/>
          </w:tcPr>
          <w:p>
            <w:r/>
            <w:r>
              <w:rPr>
                <w:b w:val="0"/>
                <w:color w:val="1F2328"/>
                <w:sz w:val="18"/>
              </w:rPr>
              <w:t>SAS-EV-001</w:t>
            </w:r>
          </w:p>
        </w:tc>
        <w:tc>
          <w:tcPr>
            <w:tcW w:type="dxa" w:w="1765"/>
          </w:tcPr>
          <w:p>
            <w:r/>
            <w:r>
              <w:rPr>
                <w:b w:val="0"/>
                <w:color w:val="1F2328"/>
                <w:sz w:val="18"/>
              </w:rPr>
              <w:t>Complete</w:t>
            </w:r>
          </w:p>
        </w:tc>
      </w:tr>
    </w:tbl>
    <w:p>
      <w:pPr>
        <w:spacing w:before="0" w:after="120"/>
      </w:pPr>
    </w:p>
    <w:p>
      <w:pPr>
        <w:pStyle w:val="974"/>
        <w:outlineLvl w:val="1"/>
      </w:pPr>
      <w:bookmarkStart w:id="7" w:name="_TocRAM004"/>
      <w:r>
        <w:t>Terms used here</w:t>
      </w:r>
      <w:bookmarkEnd w:id="7"/>
    </w:p>
    <w:p>
      <w:r>
        <w:rPr>
          <w:b w:val="0"/>
        </w:rPr>
        <w:t>These terms are local to this architecture statement. Expand every acronym on first use in the body.</w:t>
      </w:r>
    </w:p>
    <w:tbl>
      <w:tblPr>
        <w:tblStyle w:val="1033"/>
        <w:tblW w:type="dxa" w:w="10080"/>
        <w:jc w:val="left"/>
        <w:tblLayout w:type="fixed"/>
        <w:tblLook w:firstColumn="1" w:firstRow="1" w:lastColumn="0" w:lastRow="0" w:noHBand="0" w:noVBand="1" w:val="04A0"/>
      </w:tblPr>
      <w:tblGrid>
        <w:gridCol w:w="2691"/>
        <w:gridCol w:w="7389"/>
      </w:tblGrid>
      <w:tr>
        <w:trPr>
          <w:tblHeader/>
          <w:cantSplit/>
        </w:trPr>
        <w:tc>
          <w:tcPr>
            <w:tcW w:type="dxa" w:w="2691"/>
            <w:shd w:fill="F7F9FC"/>
          </w:tcPr>
          <w:p>
            <w:r/>
            <w:r>
              <w:rPr>
                <w:b/>
                <w:color w:val="1F6FEB"/>
                <w:sz w:val="18"/>
              </w:rPr>
              <w:t>Term</w:t>
            </w:r>
          </w:p>
        </w:tc>
        <w:tc>
          <w:tcPr>
            <w:tcW w:type="dxa" w:w="7389"/>
            <w:shd w:fill="F7F9FC"/>
          </w:tcPr>
          <w:p>
            <w:r/>
            <w:r>
              <w:rPr>
                <w:b/>
                <w:color w:val="1F6FEB"/>
                <w:sz w:val="18"/>
              </w:rPr>
              <w:t>Meaning</w:t>
            </w:r>
          </w:p>
        </w:tc>
      </w:tr>
      <w:tr>
        <w:trPr>
          <w:cantSplit/>
        </w:trPr>
        <w:tc>
          <w:tcPr>
            <w:tcW w:type="dxa" w:w="2691"/>
          </w:tcPr>
          <w:p>
            <w:r/>
            <w:r>
              <w:rPr>
                <w:b w:val="0"/>
                <w:color w:val="1F2328"/>
                <w:sz w:val="18"/>
              </w:rPr>
              <w:t>System boundary</w:t>
            </w:r>
          </w:p>
        </w:tc>
        <w:tc>
          <w:tcPr>
            <w:tcW w:type="dxa" w:w="7389"/>
          </w:tcPr>
          <w:p>
            <w:r/>
            <w:r>
              <w:rPr>
                <w:b w:val="0"/>
                <w:color w:val="1F2328"/>
                <w:sz w:val="18"/>
              </w:rPr>
              <w:t>The set of components, accounts and data stores Arcfield can configure or for which it must produce evidence.</w:t>
            </w:r>
          </w:p>
        </w:tc>
      </w:tr>
      <w:tr>
        <w:trPr>
          <w:cantSplit/>
        </w:trPr>
        <w:tc>
          <w:tcPr>
            <w:tcW w:type="dxa" w:w="2691"/>
          </w:tcPr>
          <w:p>
            <w:r/>
            <w:r>
              <w:rPr>
                <w:b w:val="0"/>
                <w:color w:val="1F2328"/>
                <w:sz w:val="18"/>
              </w:rPr>
              <w:t>Trust boundary</w:t>
            </w:r>
          </w:p>
        </w:tc>
        <w:tc>
          <w:tcPr>
            <w:tcW w:type="dxa" w:w="7389"/>
          </w:tcPr>
          <w:p>
            <w:r/>
            <w:r>
              <w:rPr>
                <w:b w:val="0"/>
                <w:color w:val="1F2328"/>
                <w:sz w:val="18"/>
              </w:rPr>
              <w:t>A crossing where identity, data or change authority leaves a Arcfield-controlled plane.</w:t>
            </w:r>
          </w:p>
        </w:tc>
      </w:tr>
      <w:tr>
        <w:trPr>
          <w:cantSplit/>
        </w:trPr>
        <w:tc>
          <w:tcPr>
            <w:tcW w:type="dxa" w:w="2691"/>
          </w:tcPr>
          <w:p>
            <w:r/>
            <w:r>
              <w:rPr>
                <w:b w:val="0"/>
                <w:color w:val="1F2328"/>
                <w:sz w:val="18"/>
              </w:rPr>
              <w:t>Edge</w:t>
            </w:r>
          </w:p>
        </w:tc>
        <w:tc>
          <w:tcPr>
            <w:tcW w:type="dxa" w:w="7389"/>
          </w:tcPr>
          <w:p>
            <w:r/>
            <w:r>
              <w:rPr>
                <w:b w:val="0"/>
                <w:color w:val="1F2328"/>
                <w:sz w:val="18"/>
              </w:rPr>
              <w:t>Edge protection and the API gateway. Customer and administrator traffic both enter here, then split.</w:t>
            </w:r>
          </w:p>
        </w:tc>
      </w:tr>
      <w:tr>
        <w:trPr>
          <w:cantSplit/>
        </w:trPr>
        <w:tc>
          <w:tcPr>
            <w:tcW w:type="dxa" w:w="2691"/>
          </w:tcPr>
          <w:p>
            <w:r/>
            <w:r>
              <w:rPr>
                <w:b w:val="0"/>
                <w:color w:val="1F2328"/>
                <w:sz w:val="18"/>
              </w:rPr>
              <w:t>Control plane</w:t>
            </w:r>
          </w:p>
        </w:tc>
        <w:tc>
          <w:tcPr>
            <w:tcW w:type="dxa" w:w="7389"/>
          </w:tcPr>
          <w:p>
            <w:r/>
            <w:r>
              <w:rPr>
                <w:b w:val="0"/>
                <w:color w:val="1F2328"/>
                <w:sz w:val="18"/>
              </w:rPr>
              <w:t>Identity provider tenant, CI/CD, privileged access, secrets store, policy engine, runtime orchestrator (Kubernetes) and support. These paths can change or read production without being the tenant workload.</w:t>
            </w:r>
          </w:p>
        </w:tc>
      </w:tr>
      <w:tr>
        <w:trPr>
          <w:cantSplit/>
        </w:trPr>
        <w:tc>
          <w:tcPr>
            <w:tcW w:type="dxa" w:w="2691"/>
          </w:tcPr>
          <w:p>
            <w:r/>
            <w:r>
              <w:rPr>
                <w:b w:val="0"/>
                <w:color w:val="1F2328"/>
                <w:sz w:val="18"/>
              </w:rPr>
              <w:t>Data plane</w:t>
            </w:r>
          </w:p>
        </w:tc>
        <w:tc>
          <w:tcPr>
            <w:tcW w:type="dxa" w:w="7389"/>
          </w:tcPr>
          <w:p>
            <w:r/>
            <w:r>
              <w:rPr>
                <w:b w:val="0"/>
                <w:color w:val="1F2328"/>
                <w:sz w:val="18"/>
              </w:rPr>
              <w:t>Production platform plus tenant-isolated application, data-store and object-store instances.</w:t>
            </w:r>
          </w:p>
        </w:tc>
      </w:tr>
      <w:tr>
        <w:trPr>
          <w:cantSplit/>
        </w:trPr>
        <w:tc>
          <w:tcPr>
            <w:tcW w:type="dxa" w:w="2691"/>
          </w:tcPr>
          <w:p>
            <w:r/>
            <w:r>
              <w:rPr>
                <w:b w:val="0"/>
                <w:color w:val="1F2328"/>
                <w:sz w:val="18"/>
              </w:rPr>
              <w:t>Observability</w:t>
            </w:r>
          </w:p>
        </w:tc>
        <w:tc>
          <w:tcPr>
            <w:tcW w:type="dxa" w:w="7389"/>
          </w:tcPr>
          <w:p>
            <w:r/>
            <w:r>
              <w:rPr>
                <w:b w:val="0"/>
                <w:color w:val="1F2328"/>
                <w:sz w:val="18"/>
              </w:rPr>
              <w:t>Logging and detection, security-event correlation, metrics and alerts, distributed tracing and the ISMS evidence repository.</w:t>
            </w:r>
          </w:p>
        </w:tc>
      </w:tr>
      <w:tr>
        <w:trPr>
          <w:cantSplit/>
        </w:trPr>
        <w:tc>
          <w:tcPr>
            <w:tcW w:type="dxa" w:w="2691"/>
          </w:tcPr>
          <w:p>
            <w:r/>
            <w:r>
              <w:rPr>
                <w:b w:val="0"/>
                <w:color w:val="1F2328"/>
                <w:sz w:val="18"/>
              </w:rPr>
              <w:t>CUEC</w:t>
            </w:r>
          </w:p>
        </w:tc>
        <w:tc>
          <w:tcPr>
            <w:tcW w:type="dxa" w:w="7389"/>
          </w:tcPr>
          <w:p>
            <w:r/>
            <w:r>
              <w:rPr>
                <w:b w:val="0"/>
                <w:color w:val="1F2328"/>
                <w:sz w:val="18"/>
              </w:rPr>
              <w:t>Complementary user entity controls. Customer-side controls and evidence. This file records the process and the template; it does not hold customer evidence packs.</w:t>
            </w:r>
          </w:p>
        </w:tc>
      </w:tr>
      <w:tr>
        <w:trPr>
          <w:cantSplit/>
        </w:trPr>
        <w:tc>
          <w:tcPr>
            <w:tcW w:type="dxa" w:w="2691"/>
          </w:tcPr>
          <w:p>
            <w:r/>
            <w:r>
              <w:rPr>
                <w:b w:val="0"/>
                <w:color w:val="1F2328"/>
                <w:sz w:val="18"/>
              </w:rPr>
              <w:t>Shared responsibility</w:t>
            </w:r>
          </w:p>
        </w:tc>
        <w:tc>
          <w:tcPr>
            <w:tcW w:type="dxa" w:w="7389"/>
          </w:tcPr>
          <w:p>
            <w:r/>
            <w:r>
              <w:rPr>
                <w:b w:val="0"/>
                <w:color w:val="1F2328"/>
                <w:sz w:val="18"/>
              </w:rPr>
              <w:t>A split that names what the supplier operates and what Arcfield must still evidence.</w:t>
            </w:r>
          </w:p>
        </w:tc>
      </w:tr>
      <w:tr>
        <w:trPr>
          <w:cantSplit/>
        </w:trPr>
        <w:tc>
          <w:tcPr>
            <w:tcW w:type="dxa" w:w="2691"/>
          </w:tcPr>
          <w:p>
            <w:r/>
            <w:r>
              <w:rPr>
                <w:b w:val="0"/>
                <w:color w:val="1F2328"/>
                <w:sz w:val="18"/>
              </w:rPr>
              <w:t>Subprocessor</w:t>
            </w:r>
          </w:p>
        </w:tc>
        <w:tc>
          <w:tcPr>
            <w:tcW w:type="dxa" w:w="7389"/>
          </w:tcPr>
          <w:p>
            <w:r/>
            <w:r>
              <w:rPr>
                <w:b w:val="0"/>
                <w:color w:val="1F2328"/>
                <w:sz w:val="18"/>
              </w:rPr>
              <w:t>A supplier that processes Arcfield Platform customer data or authentication events under Arcfield instruction.</w:t>
            </w:r>
          </w:p>
        </w:tc>
      </w:tr>
      <w:tr>
        <w:trPr>
          <w:cantSplit/>
        </w:trPr>
        <w:tc>
          <w:tcPr>
            <w:tcW w:type="dxa" w:w="2691"/>
          </w:tcPr>
          <w:p>
            <w:r/>
            <w:r>
              <w:rPr>
                <w:b w:val="0"/>
                <w:color w:val="1F2328"/>
                <w:sz w:val="18"/>
              </w:rPr>
              <w:t>Evidence index</w:t>
            </w:r>
          </w:p>
        </w:tc>
        <w:tc>
          <w:tcPr>
            <w:tcW w:type="dxa" w:w="7389"/>
          </w:tcPr>
          <w:p>
            <w:r/>
            <w:r>
              <w:rPr>
                <w:b w:val="0"/>
                <w:color w:val="1F2328"/>
                <w:sz w:val="18"/>
              </w:rPr>
              <w:t>The exportable records that prove a control on this architecture, with owner and system.</w:t>
            </w:r>
          </w:p>
        </w:tc>
      </w:tr>
    </w:tbl>
    <w:p>
      <w:pPr>
        <w:spacing w:before="0" w:after="120"/>
      </w:pPr>
    </w:p>
    <w:p>
      <w:pPr>
        <w:pStyle w:val="974"/>
        <w:outlineLvl w:val="1"/>
      </w:pPr>
      <w:bookmarkStart w:id="8" w:name="_TocRAM005"/>
      <w:r>
        <w:t>Service and use cases</w:t>
      </w:r>
      <w:bookmarkEnd w:id="8"/>
    </w:p>
    <w:p>
      <w:r>
        <w:rPr>
          <w:b w:val="0"/>
        </w:rPr>
        <w:t>Arcfield Platform is a multi-tenant SaaS used by fintech and health customers to configure regulated-customer workflows, store tenant configuration and exchange support tickets. End users authenticate through the corporate identity provider with SSO (Single Sign-On) and MFA (Multi-Factor Authentication). Customer administrators manage tenant settings. Arcfield support staff access tickets and attachments through a separate support platform with time-bound roles. Engineers change production only through CI/CD (Continuous Integration / Continuous Delivery). There is no standing production SSH. Use the table to keep workshop examples in the language of these use cases before they enter the live risk register.</w:t>
      </w:r>
    </w:p>
    <w:tbl>
      <w:tblPr>
        <w:tblStyle w:val="1033"/>
        <w:tblW w:type="dxa" w:w="10077"/>
        <w:jc w:val="left"/>
        <w:tblLayout w:type="fixed"/>
        <w:tblLook w:firstColumn="1" w:firstRow="1" w:lastColumn="0" w:lastRow="0" w:noHBand="0" w:noVBand="1" w:val="04A0"/>
      </w:tblPr>
      <w:tblGrid>
        <w:gridCol w:w="2017"/>
        <w:gridCol w:w="1890"/>
        <w:gridCol w:w="1890"/>
        <w:gridCol w:w="1511"/>
        <w:gridCol w:w="1511"/>
        <w:gridCol w:w="1258"/>
      </w:tblGrid>
      <w:tr>
        <w:trPr>
          <w:tblHeader/>
          <w:cantSplit/>
        </w:trPr>
        <w:tc>
          <w:tcPr>
            <w:tcW w:type="dxa" w:w="2017"/>
            <w:shd w:fill="F7F9FC"/>
          </w:tcPr>
          <w:p>
            <w:r/>
            <w:r>
              <w:rPr>
                <w:b/>
                <w:color w:val="1F6FEB"/>
                <w:sz w:val="18"/>
              </w:rPr>
              <w:t>Use case</w:t>
            </w:r>
          </w:p>
        </w:tc>
        <w:tc>
          <w:tcPr>
            <w:tcW w:type="dxa" w:w="1890"/>
            <w:shd w:fill="F7F9FC"/>
          </w:tcPr>
          <w:p>
            <w:r/>
            <w:r>
              <w:rPr>
                <w:b/>
                <w:color w:val="1F6FEB"/>
                <w:sz w:val="18"/>
              </w:rPr>
              <w:t>Systems</w:t>
            </w:r>
          </w:p>
        </w:tc>
        <w:tc>
          <w:tcPr>
            <w:tcW w:type="dxa" w:w="1890"/>
            <w:shd w:fill="F7F9FC"/>
          </w:tcPr>
          <w:p>
            <w:r/>
            <w:r>
              <w:rPr>
                <w:b/>
                <w:color w:val="1F6FEB"/>
                <w:sz w:val="18"/>
              </w:rPr>
              <w:t>Data</w:t>
            </w:r>
          </w:p>
        </w:tc>
        <w:tc>
          <w:tcPr>
            <w:tcW w:type="dxa" w:w="1511"/>
            <w:shd w:fill="F7F9FC"/>
          </w:tcPr>
          <w:p>
            <w:r/>
            <w:r>
              <w:rPr>
                <w:b/>
                <w:color w:val="1F6FEB"/>
                <w:sz w:val="18"/>
              </w:rPr>
              <w:t>Trust path</w:t>
            </w:r>
          </w:p>
        </w:tc>
        <w:tc>
          <w:tcPr>
            <w:tcW w:type="dxa" w:w="1511"/>
            <w:shd w:fill="F7F9FC"/>
          </w:tcPr>
          <w:p>
            <w:r/>
            <w:r>
              <w:rPr>
                <w:b/>
                <w:color w:val="1F6FEB"/>
                <w:sz w:val="18"/>
              </w:rPr>
              <w:t>Evidence reference</w:t>
            </w:r>
          </w:p>
        </w:tc>
        <w:tc>
          <w:tcPr>
            <w:tcW w:type="dxa" w:w="1258"/>
            <w:shd w:fill="F7F9FC"/>
          </w:tcPr>
          <w:p>
            <w:r/>
            <w:r>
              <w:rPr>
                <w:b/>
                <w:color w:val="1F6FEB"/>
                <w:sz w:val="18"/>
              </w:rPr>
              <w:t>Evidence status</w:t>
            </w:r>
          </w:p>
        </w:tc>
      </w:tr>
      <w:tr>
        <w:trPr>
          <w:cantSplit/>
        </w:trPr>
        <w:tc>
          <w:tcPr>
            <w:tcW w:type="dxa" w:w="2017"/>
          </w:tcPr>
          <w:p>
            <w:r/>
            <w:r>
              <w:rPr>
                <w:b w:val="0"/>
                <w:color w:val="1F2328"/>
                <w:sz w:val="18"/>
              </w:rPr>
              <w:t>Customer administrator changes tenant workflow configuration.</w:t>
            </w:r>
          </w:p>
        </w:tc>
        <w:tc>
          <w:tcPr>
            <w:tcW w:type="dxa" w:w="1890"/>
          </w:tcPr>
          <w:p>
            <w:r/>
            <w:r>
              <w:rPr>
                <w:b w:val="0"/>
                <w:color w:val="1F2328"/>
                <w:sz w:val="18"/>
              </w:rPr>
              <w:t>Edge protection, API gateway, Identity provider tenant, Tenant A application</w:t>
            </w:r>
          </w:p>
        </w:tc>
        <w:tc>
          <w:tcPr>
            <w:tcW w:type="dxa" w:w="1890"/>
          </w:tcPr>
          <w:p>
            <w:r/>
            <w:r>
              <w:rPr>
                <w:b w:val="0"/>
                <w:color w:val="1F2328"/>
                <w:sz w:val="18"/>
              </w:rPr>
              <w:t>Tenant configuration</w:t>
            </w:r>
          </w:p>
        </w:tc>
        <w:tc>
          <w:tcPr>
            <w:tcW w:type="dxa" w:w="1511"/>
          </w:tcPr>
          <w:p>
            <w:r/>
            <w:r>
              <w:rPr>
                <w:b w:val="0"/>
                <w:color w:val="1F2328"/>
                <w:sz w:val="18"/>
              </w:rPr>
              <w:t>SSO and MFA through Edge into the data plane</w:t>
            </w:r>
          </w:p>
        </w:tc>
        <w:tc>
          <w:tcPr>
            <w:tcW w:type="dxa" w:w="1511"/>
          </w:tcPr>
          <w:p>
            <w:r/>
            <w:r>
              <w:rPr>
                <w:b w:val="0"/>
                <w:color w:val="1F2328"/>
                <w:sz w:val="18"/>
              </w:rPr>
              <w:t>SAS-EV-001</w:t>
            </w:r>
          </w:p>
        </w:tc>
        <w:tc>
          <w:tcPr>
            <w:tcW w:type="dxa" w:w="1258"/>
          </w:tcPr>
          <w:p>
            <w:r/>
            <w:r>
              <w:rPr>
                <w:b w:val="0"/>
                <w:color w:val="1F2328"/>
                <w:sz w:val="18"/>
              </w:rPr>
              <w:t>Complete</w:t>
            </w:r>
          </w:p>
        </w:tc>
      </w:tr>
      <w:tr>
        <w:trPr>
          <w:cantSplit/>
        </w:trPr>
        <w:tc>
          <w:tcPr>
            <w:tcW w:type="dxa" w:w="2017"/>
          </w:tcPr>
          <w:p>
            <w:r/>
            <w:r>
              <w:rPr>
                <w:b w:val="0"/>
                <w:color w:val="1F2328"/>
                <w:sz w:val="18"/>
              </w:rPr>
              <w:t>Support agent reads a ticket with a configuration export attached.</w:t>
            </w:r>
          </w:p>
        </w:tc>
        <w:tc>
          <w:tcPr>
            <w:tcW w:type="dxa" w:w="1890"/>
          </w:tcPr>
          <w:p>
            <w:r/>
            <w:r>
              <w:rPr>
                <w:b w:val="0"/>
                <w:color w:val="1F2328"/>
                <w:sz w:val="18"/>
              </w:rPr>
              <w:t>Support platform, Privileged access, Production platform</w:t>
            </w:r>
          </w:p>
        </w:tc>
        <w:tc>
          <w:tcPr>
            <w:tcW w:type="dxa" w:w="1890"/>
          </w:tcPr>
          <w:p>
            <w:r/>
            <w:r>
              <w:rPr>
                <w:b w:val="0"/>
                <w:color w:val="1F2328"/>
                <w:sz w:val="18"/>
              </w:rPr>
              <w:t>Support tickets and attachments</w:t>
            </w:r>
          </w:p>
        </w:tc>
        <w:tc>
          <w:tcPr>
            <w:tcW w:type="dxa" w:w="1511"/>
          </w:tcPr>
          <w:p>
            <w:r/>
            <w:r>
              <w:rPr>
                <w:b w:val="0"/>
                <w:color w:val="1F2328"/>
                <w:sz w:val="18"/>
              </w:rPr>
              <w:t>Time-bound support role; audited access</w:t>
            </w:r>
          </w:p>
        </w:tc>
        <w:tc>
          <w:tcPr>
            <w:tcW w:type="dxa" w:w="1511"/>
          </w:tcPr>
          <w:p>
            <w:r/>
            <w:r>
              <w:rPr>
                <w:b w:val="0"/>
                <w:color w:val="1F2328"/>
                <w:sz w:val="18"/>
              </w:rPr>
              <w:t>SAS-EV-001</w:t>
            </w:r>
          </w:p>
        </w:tc>
        <w:tc>
          <w:tcPr>
            <w:tcW w:type="dxa" w:w="1258"/>
          </w:tcPr>
          <w:p>
            <w:r/>
            <w:r>
              <w:rPr>
                <w:b w:val="0"/>
                <w:color w:val="1F2328"/>
                <w:sz w:val="18"/>
              </w:rPr>
              <w:t>Complete</w:t>
            </w:r>
          </w:p>
        </w:tc>
      </w:tr>
      <w:tr>
        <w:trPr>
          <w:cantSplit/>
        </w:trPr>
        <w:tc>
          <w:tcPr>
            <w:tcW w:type="dxa" w:w="2017"/>
          </w:tcPr>
          <w:p>
            <w:r/>
            <w:r>
              <w:rPr>
                <w:b w:val="0"/>
                <w:color w:val="1F2328"/>
                <w:sz w:val="18"/>
              </w:rPr>
              <w:t>Engineer ships a signed build to production.</w:t>
            </w:r>
          </w:p>
        </w:tc>
        <w:tc>
          <w:tcPr>
            <w:tcW w:type="dxa" w:w="1890"/>
          </w:tcPr>
          <w:p>
            <w:r/>
            <w:r>
              <w:rPr>
                <w:b w:val="0"/>
                <w:color w:val="1F2328"/>
                <w:sz w:val="18"/>
              </w:rPr>
              <w:t>CI/CD, Runtime orchestrator, Policy engine, Secrets store, Production platform</w:t>
            </w:r>
          </w:p>
        </w:tc>
        <w:tc>
          <w:tcPr>
            <w:tcW w:type="dxa" w:w="1890"/>
          </w:tcPr>
          <w:p>
            <w:r/>
            <w:r>
              <w:rPr>
                <w:b w:val="0"/>
                <w:color w:val="1F2328"/>
                <w:sz w:val="18"/>
              </w:rPr>
              <w:t>Build artifacts, deploy logs</w:t>
            </w:r>
          </w:p>
        </w:tc>
        <w:tc>
          <w:tcPr>
            <w:tcW w:type="dxa" w:w="1511"/>
          </w:tcPr>
          <w:p>
            <w:r/>
            <w:r>
              <w:rPr>
                <w:b w:val="0"/>
                <w:color w:val="1F2328"/>
                <w:sz w:val="18"/>
              </w:rPr>
              <w:t>Signed deploy and network policy</w:t>
            </w:r>
          </w:p>
        </w:tc>
        <w:tc>
          <w:tcPr>
            <w:tcW w:type="dxa" w:w="1511"/>
          </w:tcPr>
          <w:p>
            <w:r/>
            <w:r>
              <w:rPr>
                <w:b w:val="0"/>
                <w:color w:val="1F2328"/>
                <w:sz w:val="18"/>
              </w:rPr>
              <w:t>SAS-EV-001</w:t>
            </w:r>
          </w:p>
        </w:tc>
        <w:tc>
          <w:tcPr>
            <w:tcW w:type="dxa" w:w="1258"/>
          </w:tcPr>
          <w:p>
            <w:r/>
            <w:r>
              <w:rPr>
                <w:b w:val="0"/>
                <w:color w:val="1F2328"/>
                <w:sz w:val="18"/>
              </w:rPr>
              <w:t>Complete</w:t>
            </w:r>
          </w:p>
        </w:tc>
      </w:tr>
      <w:tr>
        <w:trPr>
          <w:cantSplit/>
        </w:trPr>
        <w:tc>
          <w:tcPr>
            <w:tcW w:type="dxa" w:w="2017"/>
          </w:tcPr>
          <w:p>
            <w:r/>
            <w:r>
              <w:rPr>
                <w:b w:val="0"/>
                <w:color w:val="1F2328"/>
                <w:sz w:val="18"/>
              </w:rPr>
              <w:t>On-call restores a tenant from backup after a failed change.</w:t>
            </w:r>
          </w:p>
        </w:tc>
        <w:tc>
          <w:tcPr>
            <w:tcW w:type="dxa" w:w="1890"/>
          </w:tcPr>
          <w:p>
            <w:r/>
            <w:r>
              <w:rPr>
                <w:b w:val="0"/>
                <w:color w:val="1F2328"/>
                <w:sz w:val="18"/>
              </w:rPr>
              <w:t>Backup and restore, Production platform, Tenant A data store</w:t>
            </w:r>
          </w:p>
        </w:tc>
        <w:tc>
          <w:tcPr>
            <w:tcW w:type="dxa" w:w="1890"/>
          </w:tcPr>
          <w:p>
            <w:r/>
            <w:r>
              <w:rPr>
                <w:b w:val="0"/>
                <w:color w:val="1F2328"/>
                <w:sz w:val="18"/>
              </w:rPr>
              <w:t>Encrypted production backups</w:t>
            </w:r>
          </w:p>
        </w:tc>
        <w:tc>
          <w:tcPr>
            <w:tcW w:type="dxa" w:w="1511"/>
          </w:tcPr>
          <w:p>
            <w:r/>
            <w:r>
              <w:rPr>
                <w:b w:val="0"/>
                <w:color w:val="1F2328"/>
                <w:sz w:val="18"/>
              </w:rPr>
              <w:t>Restore role with dual control onto Production platform</w:t>
            </w:r>
          </w:p>
        </w:tc>
        <w:tc>
          <w:tcPr>
            <w:tcW w:type="dxa" w:w="1511"/>
          </w:tcPr>
          <w:p>
            <w:r/>
            <w:r>
              <w:rPr>
                <w:b w:val="0"/>
                <w:color w:val="1F2328"/>
                <w:sz w:val="18"/>
              </w:rPr>
              <w:t>SAS-EV-001</w:t>
            </w:r>
          </w:p>
        </w:tc>
        <w:tc>
          <w:tcPr>
            <w:tcW w:type="dxa" w:w="1258"/>
          </w:tcPr>
          <w:p>
            <w:r/>
            <w:r>
              <w:rPr>
                <w:b w:val="0"/>
                <w:color w:val="1F2328"/>
                <w:sz w:val="18"/>
              </w:rPr>
              <w:t>Complete</w:t>
            </w:r>
          </w:p>
        </w:tc>
      </w:tr>
    </w:tbl>
    <w:p>
      <w:pPr>
        <w:spacing w:before="0" w:after="120"/>
      </w:pPr>
    </w:p>
    <w:p>
      <w:pPr>
        <w:pStyle w:val="974"/>
        <w:outlineLvl w:val="1"/>
      </w:pPr>
      <w:bookmarkStart w:id="9" w:name="_TocRAM006"/>
      <w:r>
        <w:t>System boundary and architecture</w:t>
      </w:r>
      <w:bookmarkEnd w:id="9"/>
    </w:p>
    <w:p>
      <w:r>
        <w:rPr>
          <w:b w:val="0"/>
        </w:rPr>
        <w:t>The in-scope boundary is the Arcfield Platform production account, the identity-provider tenant used for SSO and MFA, the CI/CD project that can change production, logging and detection, Backup and restore, the support platform, and the ISMS evidence repository. Marketing sites and a sandbox that cannot reach production secrets are out of this statement; they are ISS exclusions, not silent architecture gaps. Draw six trust-boundary zones: Internet (customer users and Arcfield administrators), Edge (edge protection and API gateway), Control plane (identity, CI/CD, privileged access, secrets store, policy engine, runtime orchestrator and support), Data plane (production platform plus tenant-isolated application, data-store and object-store instances), Observability (logging and detection, security-event correlation, metrics and alerts, distributed tracing and the evidence repository), and Backup (encrypted in-region restore). The named boxes below are the components in the figure. Tenant isolation is logical inside Arcfield Platform. Draw two tenant instances so the split is visible; do not invent Asset Inventory IDs or a second hosting tenant for those boxes. Do not invent a second backup region. Draw the boundary as accounts and roles, not as a vendor logo. A generic 'cloud' label is not a system.</w:t>
      </w:r>
    </w:p>
    <w:tbl>
      <w:tblPr>
        <w:tblStyle w:val="1033"/>
        <w:tblW w:type="dxa" w:w="10078"/>
        <w:jc w:val="left"/>
        <w:tblLayout w:type="fixed"/>
        <w:tblLook w:firstColumn="1" w:firstRow="1" w:lastColumn="0" w:lastRow="0" w:noHBand="0" w:noVBand="1" w:val="04A0"/>
      </w:tblPr>
      <w:tblGrid>
        <w:gridCol w:w="1258"/>
        <w:gridCol w:w="1680"/>
        <w:gridCol w:w="1820"/>
        <w:gridCol w:w="2242"/>
        <w:gridCol w:w="1680"/>
        <w:gridCol w:w="1398"/>
      </w:tblGrid>
      <w:tr>
        <w:trPr>
          <w:tblHeader/>
          <w:cantSplit/>
        </w:trPr>
        <w:tc>
          <w:tcPr>
            <w:tcW w:type="dxa" w:w="1258"/>
            <w:shd w:fill="F7F9FC"/>
          </w:tcPr>
          <w:p>
            <w:r/>
            <w:r>
              <w:rPr>
                <w:b/>
                <w:color w:val="1F6FEB"/>
                <w:sz w:val="18"/>
              </w:rPr>
              <w:t>Asset ID</w:t>
            </w:r>
          </w:p>
        </w:tc>
        <w:tc>
          <w:tcPr>
            <w:tcW w:type="dxa" w:w="1680"/>
            <w:shd w:fill="F7F9FC"/>
          </w:tcPr>
          <w:p>
            <w:r/>
            <w:r>
              <w:rPr>
                <w:b/>
                <w:color w:val="1F6FEB"/>
                <w:sz w:val="18"/>
              </w:rPr>
              <w:t>Asset name</w:t>
            </w:r>
          </w:p>
        </w:tc>
        <w:tc>
          <w:tcPr>
            <w:tcW w:type="dxa" w:w="1820"/>
            <w:shd w:fill="F7F9FC"/>
          </w:tcPr>
          <w:p>
            <w:r/>
            <w:r>
              <w:rPr>
                <w:b/>
                <w:color w:val="1F6FEB"/>
                <w:sz w:val="18"/>
              </w:rPr>
              <w:t>Asset owner</w:t>
            </w:r>
          </w:p>
        </w:tc>
        <w:tc>
          <w:tcPr>
            <w:tcW w:type="dxa" w:w="2242"/>
            <w:shd w:fill="F7F9FC"/>
          </w:tcPr>
          <w:p>
            <w:r/>
            <w:r>
              <w:rPr>
                <w:b/>
                <w:color w:val="1F6FEB"/>
                <w:sz w:val="18"/>
              </w:rPr>
              <w:t>Classification</w:t>
            </w:r>
          </w:p>
        </w:tc>
        <w:tc>
          <w:tcPr>
            <w:tcW w:type="dxa" w:w="1680"/>
            <w:shd w:fill="F7F9FC"/>
          </w:tcPr>
          <w:p>
            <w:r/>
            <w:r>
              <w:rPr>
                <w:b/>
                <w:color w:val="1F6FEB"/>
                <w:sz w:val="18"/>
              </w:rPr>
              <w:t>Evidence reference</w:t>
            </w:r>
          </w:p>
        </w:tc>
        <w:tc>
          <w:tcPr>
            <w:tcW w:type="dxa" w:w="1398"/>
            <w:shd w:fill="F7F9FC"/>
          </w:tcPr>
          <w:p>
            <w:r/>
            <w:r>
              <w:rPr>
                <w:b/>
                <w:color w:val="1F6FEB"/>
                <w:sz w:val="18"/>
              </w:rPr>
              <w:t>Evidence status</w:t>
            </w:r>
          </w:p>
        </w:tc>
      </w:tr>
      <w:tr>
        <w:trPr>
          <w:cantSplit/>
        </w:trPr>
        <w:tc>
          <w:tcPr>
            <w:tcW w:type="dxa" w:w="1258"/>
          </w:tcPr>
          <w:p>
            <w:r/>
            <w:r>
              <w:rPr>
                <w:b w:val="0"/>
                <w:color w:val="1F2328"/>
                <w:sz w:val="18"/>
              </w:rPr>
              <w:t>AST-001</w:t>
            </w:r>
          </w:p>
        </w:tc>
        <w:tc>
          <w:tcPr>
            <w:tcW w:type="dxa" w:w="1680"/>
          </w:tcPr>
          <w:p>
            <w:r/>
            <w:r>
              <w:rPr>
                <w:b w:val="0"/>
                <w:color w:val="1F2328"/>
                <w:sz w:val="18"/>
              </w:rPr>
              <w:t>Production platform</w:t>
            </w:r>
          </w:p>
        </w:tc>
        <w:tc>
          <w:tcPr>
            <w:tcW w:type="dxa" w:w="1820"/>
          </w:tcPr>
          <w:p>
            <w:r/>
            <w:r>
              <w:rPr>
                <w:b w:val="0"/>
                <w:color w:val="1F2328"/>
                <w:sz w:val="18"/>
              </w:rPr>
              <w:t>Service Owner</w:t>
            </w:r>
          </w:p>
        </w:tc>
        <w:tc>
          <w:tcPr>
            <w:tcW w:type="dxa" w:w="2242"/>
          </w:tcPr>
          <w:p>
            <w:r/>
            <w:r>
              <w:rPr>
                <w:b w:val="0"/>
                <w:color w:val="1F2328"/>
                <w:sz w:val="18"/>
              </w:rPr>
              <w:t>Confidential</w:t>
            </w:r>
          </w:p>
        </w:tc>
        <w:tc>
          <w:tcPr>
            <w:tcW w:type="dxa" w:w="1680"/>
          </w:tcPr>
          <w:p>
            <w:r/>
            <w:r>
              <w:rPr>
                <w:b w:val="0"/>
                <w:color w:val="1F2328"/>
                <w:sz w:val="18"/>
              </w:rPr>
              <w:t>SAS-EV-001</w:t>
            </w:r>
          </w:p>
        </w:tc>
        <w:tc>
          <w:tcPr>
            <w:tcW w:type="dxa" w:w="1398"/>
          </w:tcPr>
          <w:p>
            <w:r/>
            <w:r>
              <w:rPr>
                <w:b w:val="0"/>
                <w:color w:val="1F2328"/>
                <w:sz w:val="18"/>
              </w:rPr>
              <w:t>Complete</w:t>
            </w:r>
          </w:p>
        </w:tc>
      </w:tr>
      <w:tr>
        <w:trPr>
          <w:cantSplit/>
        </w:trPr>
        <w:tc>
          <w:tcPr>
            <w:tcW w:type="dxa" w:w="1258"/>
          </w:tcPr>
          <w:p>
            <w:r/>
            <w:r>
              <w:rPr>
                <w:b w:val="0"/>
                <w:color w:val="1F2328"/>
                <w:sz w:val="18"/>
              </w:rPr>
              <w:t>AST-005</w:t>
            </w:r>
          </w:p>
        </w:tc>
        <w:tc>
          <w:tcPr>
            <w:tcW w:type="dxa" w:w="1680"/>
          </w:tcPr>
          <w:p>
            <w:r/>
            <w:r>
              <w:rPr>
                <w:b w:val="0"/>
                <w:color w:val="1F2328"/>
                <w:sz w:val="18"/>
              </w:rPr>
              <w:t>Identity provider tenant</w:t>
            </w:r>
          </w:p>
        </w:tc>
        <w:tc>
          <w:tcPr>
            <w:tcW w:type="dxa" w:w="1820"/>
          </w:tcPr>
          <w:p>
            <w:r/>
            <w:r>
              <w:rPr>
                <w:b w:val="0"/>
                <w:color w:val="1F2328"/>
                <w:sz w:val="18"/>
              </w:rPr>
              <w:t>IT Operations Manager</w:t>
            </w:r>
          </w:p>
        </w:tc>
        <w:tc>
          <w:tcPr>
            <w:tcW w:type="dxa" w:w="2242"/>
          </w:tcPr>
          <w:p>
            <w:r/>
            <w:r>
              <w:rPr>
                <w:b w:val="0"/>
                <w:color w:val="1F2328"/>
                <w:sz w:val="18"/>
              </w:rPr>
              <w:t>Restricted</w:t>
            </w:r>
          </w:p>
        </w:tc>
        <w:tc>
          <w:tcPr>
            <w:tcW w:type="dxa" w:w="1680"/>
          </w:tcPr>
          <w:p>
            <w:r/>
            <w:r>
              <w:rPr>
                <w:b w:val="0"/>
                <w:color w:val="1F2328"/>
                <w:sz w:val="18"/>
              </w:rPr>
              <w:t>SAS-EV-001</w:t>
            </w:r>
          </w:p>
        </w:tc>
        <w:tc>
          <w:tcPr>
            <w:tcW w:type="dxa" w:w="1398"/>
          </w:tcPr>
          <w:p>
            <w:r/>
            <w:r>
              <w:rPr>
                <w:b w:val="0"/>
                <w:color w:val="1F2328"/>
                <w:sz w:val="18"/>
              </w:rPr>
              <w:t>Complete</w:t>
            </w:r>
          </w:p>
        </w:tc>
      </w:tr>
      <w:tr>
        <w:trPr>
          <w:cantSplit/>
        </w:trPr>
        <w:tc>
          <w:tcPr>
            <w:tcW w:type="dxa" w:w="1258"/>
          </w:tcPr>
          <w:p>
            <w:r/>
            <w:r>
              <w:rPr>
                <w:b w:val="0"/>
                <w:color w:val="1F2328"/>
                <w:sz w:val="18"/>
              </w:rPr>
              <w:t>AST-011</w:t>
            </w:r>
          </w:p>
        </w:tc>
        <w:tc>
          <w:tcPr>
            <w:tcW w:type="dxa" w:w="1680"/>
          </w:tcPr>
          <w:p>
            <w:r/>
            <w:r>
              <w:rPr>
                <w:b w:val="0"/>
                <w:color w:val="1F2328"/>
                <w:sz w:val="18"/>
              </w:rPr>
              <w:t>CI/CD</w:t>
            </w:r>
          </w:p>
        </w:tc>
        <w:tc>
          <w:tcPr>
            <w:tcW w:type="dxa" w:w="1820"/>
          </w:tcPr>
          <w:p>
            <w:r/>
            <w:r>
              <w:rPr>
                <w:b w:val="0"/>
                <w:color w:val="1F2328"/>
                <w:sz w:val="18"/>
              </w:rPr>
              <w:t>Engineering Lead</w:t>
            </w:r>
          </w:p>
        </w:tc>
        <w:tc>
          <w:tcPr>
            <w:tcW w:type="dxa" w:w="2242"/>
          </w:tcPr>
          <w:p>
            <w:r/>
            <w:r>
              <w:rPr>
                <w:b w:val="0"/>
                <w:color w:val="1F2328"/>
                <w:sz w:val="18"/>
              </w:rPr>
              <w:t>Confidential</w:t>
            </w:r>
          </w:p>
        </w:tc>
        <w:tc>
          <w:tcPr>
            <w:tcW w:type="dxa" w:w="1680"/>
          </w:tcPr>
          <w:p>
            <w:r/>
            <w:r>
              <w:rPr>
                <w:b w:val="0"/>
                <w:color w:val="1F2328"/>
                <w:sz w:val="18"/>
              </w:rPr>
              <w:t>SAS-EV-001</w:t>
            </w:r>
          </w:p>
        </w:tc>
        <w:tc>
          <w:tcPr>
            <w:tcW w:type="dxa" w:w="1398"/>
          </w:tcPr>
          <w:p>
            <w:r/>
            <w:r>
              <w:rPr>
                <w:b w:val="0"/>
                <w:color w:val="1F2328"/>
                <w:sz w:val="18"/>
              </w:rPr>
              <w:t>Complete</w:t>
            </w:r>
          </w:p>
        </w:tc>
      </w:tr>
      <w:tr>
        <w:trPr>
          <w:cantSplit/>
        </w:trPr>
        <w:tc>
          <w:tcPr>
            <w:tcW w:type="dxa" w:w="1258"/>
          </w:tcPr>
          <w:p>
            <w:r/>
            <w:r>
              <w:rPr>
                <w:b w:val="0"/>
                <w:color w:val="1F2328"/>
                <w:sz w:val="18"/>
              </w:rPr>
              <w:t>AST-014</w:t>
            </w:r>
          </w:p>
        </w:tc>
        <w:tc>
          <w:tcPr>
            <w:tcW w:type="dxa" w:w="1680"/>
          </w:tcPr>
          <w:p>
            <w:r/>
            <w:r>
              <w:rPr>
                <w:b w:val="0"/>
                <w:color w:val="1F2328"/>
                <w:sz w:val="18"/>
              </w:rPr>
              <w:t>Support platform</w:t>
            </w:r>
          </w:p>
        </w:tc>
        <w:tc>
          <w:tcPr>
            <w:tcW w:type="dxa" w:w="1820"/>
          </w:tcPr>
          <w:p>
            <w:r/>
            <w:r>
              <w:rPr>
                <w:b w:val="0"/>
                <w:color w:val="1F2328"/>
                <w:sz w:val="18"/>
              </w:rPr>
              <w:t>Product Systems Owner</w:t>
            </w:r>
          </w:p>
        </w:tc>
        <w:tc>
          <w:tcPr>
            <w:tcW w:type="dxa" w:w="2242"/>
          </w:tcPr>
          <w:p>
            <w:r/>
            <w:r>
              <w:rPr>
                <w:b w:val="0"/>
                <w:color w:val="1F2328"/>
                <w:sz w:val="18"/>
              </w:rPr>
              <w:t>Confidential</w:t>
            </w:r>
          </w:p>
        </w:tc>
        <w:tc>
          <w:tcPr>
            <w:tcW w:type="dxa" w:w="1680"/>
          </w:tcPr>
          <w:p>
            <w:r/>
            <w:r>
              <w:rPr>
                <w:b w:val="0"/>
                <w:color w:val="1F2328"/>
                <w:sz w:val="18"/>
              </w:rPr>
              <w:t>SAS-EV-001</w:t>
            </w:r>
          </w:p>
        </w:tc>
        <w:tc>
          <w:tcPr>
            <w:tcW w:type="dxa" w:w="1398"/>
          </w:tcPr>
          <w:p>
            <w:r/>
            <w:r>
              <w:rPr>
                <w:b w:val="0"/>
                <w:color w:val="1F2328"/>
                <w:sz w:val="18"/>
              </w:rPr>
              <w:t>Complete</w:t>
            </w:r>
          </w:p>
        </w:tc>
      </w:tr>
      <w:tr>
        <w:trPr>
          <w:cantSplit/>
        </w:trPr>
        <w:tc>
          <w:tcPr>
            <w:tcW w:type="dxa" w:w="1258"/>
          </w:tcPr>
          <w:p>
            <w:r/>
            <w:r>
              <w:rPr>
                <w:b w:val="0"/>
                <w:color w:val="1F2328"/>
                <w:sz w:val="18"/>
              </w:rPr>
              <w:t>AST-012</w:t>
            </w:r>
          </w:p>
        </w:tc>
        <w:tc>
          <w:tcPr>
            <w:tcW w:type="dxa" w:w="1680"/>
          </w:tcPr>
          <w:p>
            <w:r/>
            <w:r>
              <w:rPr>
                <w:b w:val="0"/>
                <w:color w:val="1F2328"/>
                <w:sz w:val="18"/>
              </w:rPr>
              <w:t>Logging and detection</w:t>
            </w:r>
          </w:p>
        </w:tc>
        <w:tc>
          <w:tcPr>
            <w:tcW w:type="dxa" w:w="1820"/>
          </w:tcPr>
          <w:p>
            <w:r/>
            <w:r>
              <w:rPr>
                <w:b w:val="0"/>
                <w:color w:val="1F2328"/>
                <w:sz w:val="18"/>
              </w:rPr>
              <w:t>Security Lead</w:t>
            </w:r>
          </w:p>
        </w:tc>
        <w:tc>
          <w:tcPr>
            <w:tcW w:type="dxa" w:w="2242"/>
          </w:tcPr>
          <w:p>
            <w:r/>
            <w:r>
              <w:rPr>
                <w:b w:val="0"/>
                <w:color w:val="1F2328"/>
                <w:sz w:val="18"/>
              </w:rPr>
              <w:t>Restricted</w:t>
            </w:r>
          </w:p>
        </w:tc>
        <w:tc>
          <w:tcPr>
            <w:tcW w:type="dxa" w:w="1680"/>
          </w:tcPr>
          <w:p>
            <w:r/>
            <w:r>
              <w:rPr>
                <w:b w:val="0"/>
                <w:color w:val="1F2328"/>
                <w:sz w:val="18"/>
              </w:rPr>
              <w:t>SAS-EV-001</w:t>
            </w:r>
          </w:p>
        </w:tc>
        <w:tc>
          <w:tcPr>
            <w:tcW w:type="dxa" w:w="1398"/>
          </w:tcPr>
          <w:p>
            <w:r/>
            <w:r>
              <w:rPr>
                <w:b w:val="0"/>
                <w:color w:val="1F2328"/>
                <w:sz w:val="18"/>
              </w:rPr>
              <w:t>Complete</w:t>
            </w:r>
          </w:p>
        </w:tc>
      </w:tr>
      <w:tr>
        <w:trPr>
          <w:cantSplit/>
        </w:trPr>
        <w:tc>
          <w:tcPr>
            <w:tcW w:type="dxa" w:w="1258"/>
          </w:tcPr>
          <w:p>
            <w:r/>
            <w:r>
              <w:rPr>
                <w:b w:val="0"/>
                <w:color w:val="1F2328"/>
                <w:sz w:val="18"/>
              </w:rPr>
              <w:t>AST-013</w:t>
            </w:r>
          </w:p>
        </w:tc>
        <w:tc>
          <w:tcPr>
            <w:tcW w:type="dxa" w:w="1680"/>
          </w:tcPr>
          <w:p>
            <w:r/>
            <w:r>
              <w:rPr>
                <w:b w:val="0"/>
                <w:color w:val="1F2328"/>
                <w:sz w:val="18"/>
              </w:rPr>
              <w:t>Backup and restore</w:t>
            </w:r>
          </w:p>
        </w:tc>
        <w:tc>
          <w:tcPr>
            <w:tcW w:type="dxa" w:w="1820"/>
          </w:tcPr>
          <w:p>
            <w:r/>
            <w:r>
              <w:rPr>
                <w:b w:val="0"/>
                <w:color w:val="1F2328"/>
                <w:sz w:val="18"/>
              </w:rPr>
              <w:t>Engineering Lead</w:t>
            </w:r>
          </w:p>
        </w:tc>
        <w:tc>
          <w:tcPr>
            <w:tcW w:type="dxa" w:w="2242"/>
          </w:tcPr>
          <w:p>
            <w:r/>
            <w:r>
              <w:rPr>
                <w:b w:val="0"/>
                <w:color w:val="1F2328"/>
                <w:sz w:val="18"/>
              </w:rPr>
              <w:t>Confidential</w:t>
            </w:r>
          </w:p>
        </w:tc>
        <w:tc>
          <w:tcPr>
            <w:tcW w:type="dxa" w:w="1680"/>
          </w:tcPr>
          <w:p>
            <w:r/>
            <w:r>
              <w:rPr>
                <w:b w:val="0"/>
                <w:color w:val="1F2328"/>
                <w:sz w:val="18"/>
              </w:rPr>
              <w:t>SAS-EV-001</w:t>
            </w:r>
          </w:p>
        </w:tc>
        <w:tc>
          <w:tcPr>
            <w:tcW w:type="dxa" w:w="1398"/>
          </w:tcPr>
          <w:p>
            <w:r/>
            <w:r>
              <w:rPr>
                <w:b w:val="0"/>
                <w:color w:val="1F2328"/>
                <w:sz w:val="18"/>
              </w:rPr>
              <w:t>Complete</w:t>
            </w:r>
          </w:p>
        </w:tc>
      </w:tr>
      <w:tr>
        <w:trPr>
          <w:cantSplit/>
        </w:trPr>
        <w:tc>
          <w:tcPr>
            <w:tcW w:type="dxa" w:w="1258"/>
          </w:tcPr>
          <w:p>
            <w:r/>
            <w:r>
              <w:rPr>
                <w:b w:val="0"/>
                <w:color w:val="1F2328"/>
                <w:sz w:val="18"/>
              </w:rPr>
              <w:t>AST-003</w:t>
            </w:r>
          </w:p>
        </w:tc>
        <w:tc>
          <w:tcPr>
            <w:tcW w:type="dxa" w:w="1680"/>
          </w:tcPr>
          <w:p>
            <w:r/>
            <w:r>
              <w:rPr>
                <w:b w:val="0"/>
                <w:color w:val="1F2328"/>
                <w:sz w:val="18"/>
              </w:rPr>
              <w:t>ISMS evidence repository</w:t>
            </w:r>
          </w:p>
        </w:tc>
        <w:tc>
          <w:tcPr>
            <w:tcW w:type="dxa" w:w="1820"/>
          </w:tcPr>
          <w:p>
            <w:r/>
            <w:r>
              <w:rPr>
                <w:b w:val="0"/>
                <w:color w:val="1F2328"/>
                <w:sz w:val="18"/>
              </w:rPr>
              <w:t>ISMS Manager</w:t>
            </w:r>
          </w:p>
        </w:tc>
        <w:tc>
          <w:tcPr>
            <w:tcW w:type="dxa" w:w="2242"/>
          </w:tcPr>
          <w:p>
            <w:r/>
            <w:r>
              <w:rPr>
                <w:b w:val="0"/>
                <w:color w:val="1F2328"/>
                <w:sz w:val="18"/>
              </w:rPr>
              <w:t>Internal</w:t>
            </w:r>
          </w:p>
        </w:tc>
        <w:tc>
          <w:tcPr>
            <w:tcW w:type="dxa" w:w="1680"/>
          </w:tcPr>
          <w:p>
            <w:r/>
            <w:r>
              <w:rPr>
                <w:b w:val="0"/>
                <w:color w:val="1F2328"/>
                <w:sz w:val="18"/>
              </w:rPr>
              <w:t>SAS-EV-001</w:t>
            </w:r>
          </w:p>
        </w:tc>
        <w:tc>
          <w:tcPr>
            <w:tcW w:type="dxa" w:w="1398"/>
          </w:tcPr>
          <w:p>
            <w:r/>
            <w:r>
              <w:rPr>
                <w:b w:val="0"/>
                <w:color w:val="1F2328"/>
                <w:sz w:val="18"/>
              </w:rPr>
              <w:t>Complete</w:t>
            </w:r>
          </w:p>
        </w:tc>
      </w:tr>
    </w:tbl>
    <w:p>
      <w:pPr>
        <w:spacing w:before="0" w:after="120"/>
      </w:pPr>
    </w:p>
    <w:p>
      <w:pPr>
        <w:spacing w:before="160" w:after="160"/>
        <w:jc w:val="center"/>
      </w:pPr>
      <w:r>
        <w:drawing>
          <wp:inline xmlns:pic="http://schemas.openxmlformats.org/drawingml/2006/picture">
            <wp:extent cx="4411979" cy="7315199"/>
            <wp:docPr id="846484214" name="Picture 846484214"/>
            <wp:cNvGraphicFramePr>
              <a:graphicFrameLocks noChangeAspect="1"/>
            </wp:cNvGraphicFramePr>
            <a:graphic>
              <a:graphicData uri="http://schemas.openxmlformats.org/drawingml/2006/picture">
                <pic:pic>
                  <pic:nvPicPr>
                    <pic:cNvPr id="0" name="tmp29teuq5j.png"/>
                    <pic:cNvPicPr/>
                  </pic:nvPicPr>
                  <pic:blipFill>
                    <a:blip r:embed="rId16"/>
                    <a:stretch>
                      <a:fillRect/>
                    </a:stretch>
                  </pic:blipFill>
                  <pic:spPr>
                    <a:xfrm>
                      <a:off x="0" y="0"/>
                      <a:ext cx="4411979" cy="7315199"/>
                    </a:xfrm>
                    <a:prstGeom prst="rect"/>
                  </pic:spPr>
                </pic:pic>
              </a:graphicData>
            </a:graphic>
          </wp:inline>
        </w:drawing>
      </w:r>
    </w:p>
    <w:p>
      <w:pPr>
        <w:spacing w:before="0" w:after="200"/>
        <w:jc w:val="center"/>
      </w:pPr>
      <w:r>
        <w:rPr>
          <w:i/>
        </w:rPr>
        <w:t>Architecture diagram (trust boundaries, tenant isolation and restore path)</w:t>
      </w:r>
    </w:p>
    <w:p>
      <w:pPr>
        <w:pStyle w:val="974"/>
        <w:outlineLvl w:val="1"/>
      </w:pPr>
      <w:bookmarkStart w:id="10" w:name="_TocRAM007"/>
      <w:r>
        <w:t>How to read the diagram</w:t>
      </w:r>
      <w:bookmarkEnd w:id="10"/>
    </w:p>
    <w:p>
      <w:pPr>
        <w:pStyle w:val="975"/>
        <w:outlineLvl w:val="2"/>
      </w:pPr>
      <w:bookmarkStart w:id="11" w:name="_TocRAM008"/>
      <w:r>
        <w:t>Trust boundaries</w:t>
      </w:r>
      <w:bookmarkEnd w:id="11"/>
    </w:p>
    <w:p>
      <w:pPr>
        <w:pStyle w:val="1003"/>
        <w:ind w:left="360" w:hanging="259"/>
      </w:pPr>
      <w:r>
        <w:rPr>
          <w:b w:val="0"/>
        </w:rPr>
        <w:t>Internet: Customer users and Arcfield administrators outside the Arcfield Platform accounts.</w:t>
      </w:r>
    </w:p>
    <w:p>
      <w:pPr>
        <w:pStyle w:val="1003"/>
        <w:ind w:left="360" w:hanging="259"/>
      </w:pPr>
      <w:r>
        <w:rPr>
          <w:b w:val="0"/>
        </w:rPr>
        <w:t>Edge: Edge protection and the API gateway. Customer traffic and administrator traffic both enter here, then split.</w:t>
      </w:r>
    </w:p>
    <w:p>
      <w:pPr>
        <w:pStyle w:val="1003"/>
        <w:ind w:left="360" w:hanging="259"/>
      </w:pPr>
      <w:r>
        <w:rPr>
          <w:b w:val="0"/>
        </w:rPr>
        <w:t>Control plane: Identity provider tenant, CI/CD, privileged access, secrets store, policy engine, runtime orchestrator and support.</w:t>
      </w:r>
    </w:p>
    <w:p>
      <w:pPr>
        <w:pStyle w:val="1003"/>
        <w:ind w:left="360" w:hanging="259"/>
      </w:pPr>
      <w:r>
        <w:rPr>
          <w:b w:val="0"/>
        </w:rPr>
        <w:t>Data plane: Production platform plus Tenant A/B application, data-store and object-store instances.</w:t>
      </w:r>
    </w:p>
    <w:p>
      <w:pPr>
        <w:pStyle w:val="1003"/>
        <w:ind w:left="360" w:hanging="259"/>
      </w:pPr>
      <w:r>
        <w:rPr>
          <w:b w:val="0"/>
        </w:rPr>
        <w:t>Observability: Logging and detection, security-event correlation, metrics and alerts, distributed tracing and the ISMS evidence repository.</w:t>
      </w:r>
    </w:p>
    <w:p>
      <w:pPr>
        <w:pStyle w:val="1003"/>
        <w:ind w:left="360" w:hanging="259"/>
      </w:pPr>
      <w:r>
        <w:rPr>
          <w:b w:val="0"/>
        </w:rPr>
        <w:t>Backup: Backup and restore in-region, in the same EU region as production. There is no second backup region in this freeze.</w:t>
      </w:r>
    </w:p>
    <w:p>
      <w:pPr>
        <w:pStyle w:val="975"/>
        <w:outlineLvl w:val="2"/>
      </w:pPr>
      <w:bookmarkStart w:id="12" w:name="_TocRAM009"/>
      <w:r>
        <w:t>Data flows and encryption</w:t>
      </w:r>
      <w:bookmarkEnd w:id="12"/>
    </w:p>
    <w:p>
      <w:pPr>
        <w:pStyle w:val="1003"/>
        <w:ind w:left="360" w:hanging="259"/>
      </w:pPr>
      <w:r>
        <w:rPr>
          <w:b w:val="0"/>
        </w:rPr>
        <w:t>Blue (solid): encrypted production paths. HTTPS/TLS 1.3 from Internet to Edge, TLS 1.3 into the API gateway, mTLS and JWT to the runtime orchestrator, TLS and encrypted I/O inside the data plane.</w:t>
      </w:r>
    </w:p>
    <w:p>
      <w:pPr>
        <w:pStyle w:val="1003"/>
        <w:ind w:left="360" w:hanging="259"/>
      </w:pPr>
      <w:r>
        <w:rPr>
          <w:b w:val="0"/>
        </w:rPr>
        <w:t>Green (dashed): authenticated control-plane paths. Signed deploy, fetch secrets, policy check, and audited privileged access to the runtime orchestrator.</w:t>
      </w:r>
    </w:p>
    <w:p>
      <w:pPr>
        <w:pStyle w:val="1003"/>
        <w:ind w:left="360" w:hanging="259"/>
      </w:pPr>
      <w:r>
        <w:rPr>
          <w:b w:val="0"/>
        </w:rPr>
        <w:t>Orange (dashed): observability streams. Access logs from the API gateway, application logs and traces, metrics, privileged-access audit logs into security-event correlation, and evidence into the ISMS evidence repository.</w:t>
      </w:r>
    </w:p>
    <w:p>
      <w:pPr>
        <w:pStyle w:val="1003"/>
        <w:ind w:left="360" w:hanging="259"/>
      </w:pPr>
      <w:r>
        <w:rPr>
          <w:b w:val="0"/>
        </w:rPr>
        <w:t>Red (thick): encrypted in-region backup and snapshots from tenant data stores and object stores. Restore is onto Production platform; that return path is not drawn up the page.</w:t>
      </w:r>
    </w:p>
    <w:p>
      <w:pPr>
        <w:pStyle w:val="975"/>
        <w:outlineLvl w:val="2"/>
      </w:pPr>
      <w:bookmarkStart w:id="13" w:name="_TocRAM010"/>
      <w:r>
        <w:t>Component colours</w:t>
      </w:r>
      <w:bookmarkEnd w:id="13"/>
    </w:p>
    <w:p>
      <w:pPr>
        <w:pStyle w:val="1003"/>
        <w:ind w:left="360" w:hanging="259"/>
      </w:pPr>
      <w:r>
        <w:rPr>
          <w:b w:val="0"/>
        </w:rPr>
        <w:t>Grey: external actors (Customer users, Arcfield administrators).</w:t>
      </w:r>
    </w:p>
    <w:p>
      <w:pPr>
        <w:pStyle w:val="1003"/>
        <w:ind w:left="360" w:hanging="259"/>
      </w:pPr>
      <w:r>
        <w:rPr>
          <w:b w:val="0"/>
        </w:rPr>
        <w:t>Orange: security and control components (Edge protection, API gateway, privileged access, secrets store, policy engine, security-event correlation).</w:t>
      </w:r>
    </w:p>
    <w:p>
      <w:pPr>
        <w:pStyle w:val="1003"/>
        <w:ind w:left="360" w:hanging="259"/>
      </w:pPr>
      <w:r>
        <w:rPr>
          <w:b w:val="0"/>
        </w:rPr>
        <w:t>Green: in-scope runtime (CI/CD, runtime orchestrator, identity provider tenant, support platform, production platform, tenant application, data-store and object-store instances).</w:t>
      </w:r>
    </w:p>
    <w:p>
      <w:pPr>
        <w:pStyle w:val="1003"/>
        <w:ind w:left="360" w:hanging="259"/>
      </w:pPr>
      <w:r>
        <w:rPr>
          <w:b w:val="0"/>
        </w:rPr>
        <w:t>Orange (observability): logging and detection, metrics and alerts, distributed tracing, ISMS evidence repository.</w:t>
      </w:r>
    </w:p>
    <w:p>
      <w:pPr>
        <w:pStyle w:val="1003"/>
        <w:ind w:left="360" w:hanging="259"/>
      </w:pPr>
      <w:r>
        <w:rPr>
          <w:b w:val="0"/>
        </w:rPr>
        <w:t>Red: Backup and restore.</w:t>
      </w:r>
    </w:p>
    <w:p>
      <w:pPr>
        <w:pStyle w:val="975"/>
        <w:outlineLvl w:val="2"/>
      </w:pPr>
      <w:bookmarkStart w:id="14" w:name="_TocRAM011"/>
      <w:r>
        <w:t>Tenant isolation</w:t>
      </w:r>
      <w:bookmarkEnd w:id="14"/>
    </w:p>
    <w:p>
      <w:pPr>
        <w:pStyle w:val="1003"/>
        <w:ind w:left="360" w:hanging="259"/>
      </w:pPr>
      <w:r>
        <w:rPr>
          <w:b w:val="0"/>
        </w:rPr>
        <w:t>Each tenant has its own application, data-store and object-store instance inside the data plane.</w:t>
      </w:r>
    </w:p>
    <w:p>
      <w:pPr>
        <w:pStyle w:val="1003"/>
        <w:ind w:left="360" w:hanging="259"/>
      </w:pPr>
      <w:r>
        <w:rPr>
          <w:b w:val="0"/>
        </w:rPr>
        <w:t>The runtime orchestrator deploys with network policy. Isolation is logical inside Arcfield Platform, not a second unnamed hosting tenant.</w:t>
      </w:r>
    </w:p>
    <w:p>
      <w:pPr>
        <w:pStyle w:val="1003"/>
        <w:ind w:left="360" w:hanging="259"/>
      </w:pPr>
      <w:r>
        <w:rPr>
          <w:b w:val="0"/>
        </w:rPr>
        <w:t>RBAC and tenant keys prevent cross-tenant access. Cross-tenant access is not a path on this figure.</w:t>
      </w:r>
    </w:p>
    <w:p>
      <w:pPr>
        <w:pStyle w:val="975"/>
        <w:outlineLvl w:val="2"/>
      </w:pPr>
      <w:bookmarkStart w:id="15" w:name="_TocRAM012"/>
      <w:r>
        <w:t>Data location</w:t>
      </w:r>
      <w:bookmarkEnd w:id="15"/>
    </w:p>
    <w:p>
      <w:pPr>
        <w:pStyle w:val="1003"/>
        <w:ind w:left="360" w:hanging="259"/>
      </w:pPr>
      <w:r>
        <w:rPr>
          <w:b w:val="0"/>
        </w:rPr>
        <w:t>Primary processing and backup stay in the same EU region as Production platform. All in-scope data remains in the EU.</w:t>
      </w:r>
    </w:p>
    <w:p>
      <w:pPr>
        <w:pStyle w:val="1003"/>
        <w:ind w:left="360" w:hanging="259"/>
      </w:pPr>
      <w:r>
        <w:rPr>
          <w:b w:val="0"/>
        </w:rPr>
        <w:t>This freeze does not draw a second backup region or geo-replication node.</w:t>
      </w:r>
    </w:p>
    <w:p>
      <w:pPr>
        <w:pStyle w:val="975"/>
        <w:outlineLvl w:val="2"/>
      </w:pPr>
      <w:bookmarkStart w:id="16" w:name="_TocRAM013"/>
      <w:r>
        <w:t>Access control</w:t>
      </w:r>
      <w:bookmarkEnd w:id="16"/>
    </w:p>
    <w:p>
      <w:pPr>
        <w:pStyle w:val="1003"/>
        <w:ind w:left="360" w:hanging="259"/>
      </w:pPr>
      <w:r>
        <w:rPr>
          <w:b w:val="0"/>
        </w:rPr>
        <w:t>Customer users reach Arcfield Platform only through Edge protection and the API gateway with TLS 1.3, then SSO and MFA at the identity provider tenant.</w:t>
      </w:r>
    </w:p>
    <w:p>
      <w:pPr>
        <w:pStyle w:val="1003"/>
        <w:ind w:left="360" w:hanging="259"/>
      </w:pPr>
      <w:r>
        <w:rPr>
          <w:b w:val="0"/>
        </w:rPr>
        <w:t>Arcfield administrators enter at Edge and continue on the privileged-access path with MFA. There is no standing production SSH.</w:t>
      </w:r>
    </w:p>
    <w:p>
      <w:pPr>
        <w:pStyle w:val="1003"/>
        <w:ind w:left="360" w:hanging="259"/>
      </w:pPr>
      <w:r>
        <w:rPr>
          <w:b w:val="0"/>
        </w:rPr>
        <w:t>Privileged sessions are audited into security-event correlation.</w:t>
      </w:r>
    </w:p>
    <w:p>
      <w:pPr>
        <w:pStyle w:val="974"/>
        <w:outlineLvl w:val="1"/>
      </w:pPr>
      <w:bookmarkStart w:id="17" w:name="_TocRAM014"/>
      <w:r>
        <w:t>Shared responsibility</w:t>
      </w:r>
      <w:bookmarkEnd w:id="17"/>
    </w:p>
    <w:p>
      <w:r>
        <w:rPr>
          <w:b w:val="0"/>
        </w:rPr>
        <w:t>Record each split before you accept residual risk on a supplier. Arcfield remains accountable for Arcfield Platform even where a provider operates the layer.</w:t>
      </w:r>
    </w:p>
    <w:tbl>
      <w:tblPr>
        <w:tblStyle w:val="1033"/>
        <w:tblW w:type="dxa" w:w="10077"/>
        <w:jc w:val="left"/>
        <w:tblLayout w:type="fixed"/>
        <w:tblLook w:firstColumn="1" w:firstRow="1" w:lastColumn="0" w:lastRow="0" w:noHBand="0" w:noVBand="1" w:val="04A0"/>
      </w:tblPr>
      <w:tblGrid>
        <w:gridCol w:w="1963"/>
        <w:gridCol w:w="2488"/>
        <w:gridCol w:w="2751"/>
        <w:gridCol w:w="1569"/>
        <w:gridCol w:w="1306"/>
      </w:tblGrid>
      <w:tr>
        <w:trPr>
          <w:tblHeader/>
          <w:cantSplit/>
        </w:trPr>
        <w:tc>
          <w:tcPr>
            <w:tcW w:type="dxa" w:w="1963"/>
            <w:shd w:fill="F7F9FC"/>
          </w:tcPr>
          <w:p>
            <w:r/>
            <w:r>
              <w:rPr>
                <w:b/>
                <w:color w:val="1F6FEB"/>
                <w:sz w:val="18"/>
              </w:rPr>
              <w:t>Layer</w:t>
            </w:r>
          </w:p>
        </w:tc>
        <w:tc>
          <w:tcPr>
            <w:tcW w:type="dxa" w:w="2488"/>
            <w:shd w:fill="F7F9FC"/>
          </w:tcPr>
          <w:p>
            <w:r/>
            <w:r>
              <w:rPr>
                <w:b/>
                <w:color w:val="1F6FEB"/>
                <w:sz w:val="18"/>
              </w:rPr>
              <w:t>Provider operates</w:t>
            </w:r>
          </w:p>
        </w:tc>
        <w:tc>
          <w:tcPr>
            <w:tcW w:type="dxa" w:w="2751"/>
            <w:shd w:fill="F7F9FC"/>
          </w:tcPr>
          <w:p>
            <w:r/>
            <w:r>
              <w:rPr>
                <w:b/>
                <w:color w:val="1F6FEB"/>
                <w:sz w:val="18"/>
              </w:rPr>
              <w:t>Arcfield still evidences</w:t>
            </w:r>
          </w:p>
        </w:tc>
        <w:tc>
          <w:tcPr>
            <w:tcW w:type="dxa" w:w="1569"/>
            <w:shd w:fill="F7F9FC"/>
          </w:tcPr>
          <w:p>
            <w:r/>
            <w:r>
              <w:rPr>
                <w:b/>
                <w:color w:val="1F6FEB"/>
                <w:sz w:val="18"/>
              </w:rPr>
              <w:t>Evidence reference</w:t>
            </w:r>
          </w:p>
        </w:tc>
        <w:tc>
          <w:tcPr>
            <w:tcW w:type="dxa" w:w="1306"/>
            <w:shd w:fill="F7F9FC"/>
          </w:tcPr>
          <w:p>
            <w:r/>
            <w:r>
              <w:rPr>
                <w:b/>
                <w:color w:val="1F6FEB"/>
                <w:sz w:val="18"/>
              </w:rPr>
              <w:t>Evidence status</w:t>
            </w:r>
          </w:p>
        </w:tc>
      </w:tr>
      <w:tr>
        <w:trPr>
          <w:cantSplit/>
        </w:trPr>
        <w:tc>
          <w:tcPr>
            <w:tcW w:type="dxa" w:w="1963"/>
          </w:tcPr>
          <w:p>
            <w:r/>
            <w:r>
              <w:rPr>
                <w:b w:val="0"/>
                <w:color w:val="1F2328"/>
                <w:sz w:val="18"/>
              </w:rPr>
              <w:t>Physical data centre and host hypervisor</w:t>
            </w:r>
          </w:p>
        </w:tc>
        <w:tc>
          <w:tcPr>
            <w:tcW w:type="dxa" w:w="2488"/>
          </w:tcPr>
          <w:p>
            <w:r/>
            <w:r>
              <w:rPr>
                <w:b w:val="0"/>
                <w:color w:val="1F2328"/>
                <w:sz w:val="18"/>
              </w:rPr>
              <w:t>Cloud host</w:t>
            </w:r>
          </w:p>
        </w:tc>
        <w:tc>
          <w:tcPr>
            <w:tcW w:type="dxa" w:w="2751"/>
          </w:tcPr>
          <w:p>
            <w:r/>
            <w:r>
              <w:rPr>
                <w:b w:val="0"/>
                <w:color w:val="1F2328"/>
                <w:sz w:val="18"/>
              </w:rPr>
              <w:t>Region choice, account guardrails, encryption configuration</w:t>
            </w:r>
          </w:p>
        </w:tc>
        <w:tc>
          <w:tcPr>
            <w:tcW w:type="dxa" w:w="1569"/>
          </w:tcPr>
          <w:p>
            <w:r/>
            <w:r>
              <w:rPr>
                <w:b w:val="0"/>
                <w:color w:val="1F2328"/>
                <w:sz w:val="18"/>
              </w:rPr>
              <w:t>SAS-EV-002</w:t>
            </w:r>
          </w:p>
        </w:tc>
        <w:tc>
          <w:tcPr>
            <w:tcW w:type="dxa" w:w="1306"/>
          </w:tcPr>
          <w:p>
            <w:r/>
            <w:r>
              <w:rPr>
                <w:b w:val="0"/>
                <w:color w:val="1F2328"/>
                <w:sz w:val="18"/>
              </w:rPr>
              <w:t>Complete</w:t>
            </w:r>
          </w:p>
        </w:tc>
      </w:tr>
      <w:tr>
        <w:trPr>
          <w:cantSplit/>
        </w:trPr>
        <w:tc>
          <w:tcPr>
            <w:tcW w:type="dxa" w:w="1963"/>
          </w:tcPr>
          <w:p>
            <w:r/>
            <w:r>
              <w:rPr>
                <w:b w:val="0"/>
                <w:color w:val="1F2328"/>
                <w:sz w:val="18"/>
              </w:rPr>
              <w:t>Identity and MFA</w:t>
            </w:r>
          </w:p>
        </w:tc>
        <w:tc>
          <w:tcPr>
            <w:tcW w:type="dxa" w:w="2488"/>
          </w:tcPr>
          <w:p>
            <w:r/>
            <w:r>
              <w:rPr>
                <w:b w:val="0"/>
                <w:color w:val="1F2328"/>
                <w:sz w:val="18"/>
              </w:rPr>
              <w:t>Identity-provider service availability</w:t>
            </w:r>
          </w:p>
        </w:tc>
        <w:tc>
          <w:tcPr>
            <w:tcW w:type="dxa" w:w="2751"/>
          </w:tcPr>
          <w:p>
            <w:r/>
            <w:r>
              <w:rPr>
                <w:b w:val="0"/>
                <w:color w:val="1F2328"/>
                <w:sz w:val="18"/>
              </w:rPr>
              <w:t>SSO policy, MFA enforcement, joiner/mover/leaver reviews</w:t>
            </w:r>
          </w:p>
        </w:tc>
        <w:tc>
          <w:tcPr>
            <w:tcW w:type="dxa" w:w="1569"/>
          </w:tcPr>
          <w:p>
            <w:r/>
            <w:r>
              <w:rPr>
                <w:b w:val="0"/>
                <w:color w:val="1F2328"/>
                <w:sz w:val="18"/>
              </w:rPr>
              <w:t>SAS-EV-002</w:t>
            </w:r>
          </w:p>
        </w:tc>
        <w:tc>
          <w:tcPr>
            <w:tcW w:type="dxa" w:w="1306"/>
          </w:tcPr>
          <w:p>
            <w:r/>
            <w:r>
              <w:rPr>
                <w:b w:val="0"/>
                <w:color w:val="1F2328"/>
                <w:sz w:val="18"/>
              </w:rPr>
              <w:t>Complete</w:t>
            </w:r>
          </w:p>
        </w:tc>
      </w:tr>
      <w:tr>
        <w:trPr>
          <w:cantSplit/>
        </w:trPr>
        <w:tc>
          <w:tcPr>
            <w:tcW w:type="dxa" w:w="1963"/>
          </w:tcPr>
          <w:p>
            <w:r/>
            <w:r>
              <w:rPr>
                <w:b w:val="0"/>
                <w:color w:val="1F2328"/>
                <w:sz w:val="18"/>
              </w:rPr>
              <w:t>Support platform</w:t>
            </w:r>
          </w:p>
        </w:tc>
        <w:tc>
          <w:tcPr>
            <w:tcW w:type="dxa" w:w="2488"/>
          </w:tcPr>
          <w:p>
            <w:r/>
            <w:r>
              <w:rPr>
                <w:b w:val="0"/>
                <w:color w:val="1F2328"/>
                <w:sz w:val="18"/>
              </w:rPr>
              <w:t>SaaS availability and platform patching</w:t>
            </w:r>
          </w:p>
        </w:tc>
        <w:tc>
          <w:tcPr>
            <w:tcW w:type="dxa" w:w="2751"/>
          </w:tcPr>
          <w:p>
            <w:r/>
            <w:r>
              <w:rPr>
                <w:b w:val="0"/>
                <w:color w:val="1F2328"/>
                <w:sz w:val="18"/>
              </w:rPr>
              <w:t>Role design, attachment handling, DPA and access reviews</w:t>
            </w:r>
          </w:p>
        </w:tc>
        <w:tc>
          <w:tcPr>
            <w:tcW w:type="dxa" w:w="1569"/>
          </w:tcPr>
          <w:p>
            <w:r/>
            <w:r>
              <w:rPr>
                <w:b w:val="0"/>
                <w:color w:val="1F2328"/>
                <w:sz w:val="18"/>
              </w:rPr>
              <w:t>SAS-EV-002</w:t>
            </w:r>
          </w:p>
        </w:tc>
        <w:tc>
          <w:tcPr>
            <w:tcW w:type="dxa" w:w="1306"/>
          </w:tcPr>
          <w:p>
            <w:r/>
            <w:r>
              <w:rPr>
                <w:b w:val="0"/>
                <w:color w:val="1F2328"/>
                <w:sz w:val="18"/>
              </w:rPr>
              <w:t>Complete</w:t>
            </w:r>
          </w:p>
        </w:tc>
      </w:tr>
      <w:tr>
        <w:trPr>
          <w:cantSplit/>
        </w:trPr>
        <w:tc>
          <w:tcPr>
            <w:tcW w:type="dxa" w:w="1963"/>
          </w:tcPr>
          <w:p>
            <w:r/>
            <w:r>
              <w:rPr>
                <w:b w:val="0"/>
                <w:color w:val="1F2328"/>
                <w:sz w:val="18"/>
              </w:rPr>
              <w:t>Backup storage</w:t>
            </w:r>
          </w:p>
        </w:tc>
        <w:tc>
          <w:tcPr>
            <w:tcW w:type="dxa" w:w="2488"/>
          </w:tcPr>
          <w:p>
            <w:r/>
            <w:r>
              <w:rPr>
                <w:b w:val="0"/>
                <w:color w:val="1F2328"/>
                <w:sz w:val="18"/>
              </w:rPr>
              <w:t>Object durability</w:t>
            </w:r>
          </w:p>
        </w:tc>
        <w:tc>
          <w:tcPr>
            <w:tcW w:type="dxa" w:w="2751"/>
          </w:tcPr>
          <w:p>
            <w:r/>
            <w:r>
              <w:rPr>
                <w:b w:val="0"/>
                <w:color w:val="1F2328"/>
                <w:sz w:val="18"/>
              </w:rPr>
              <w:t>Encryption keys, restore tests, access to the restore role</w:t>
            </w:r>
          </w:p>
        </w:tc>
        <w:tc>
          <w:tcPr>
            <w:tcW w:type="dxa" w:w="1569"/>
          </w:tcPr>
          <w:p>
            <w:r/>
            <w:r>
              <w:rPr>
                <w:b w:val="0"/>
                <w:color w:val="1F2328"/>
                <w:sz w:val="18"/>
              </w:rPr>
              <w:t>SAS-EV-002</w:t>
            </w:r>
          </w:p>
        </w:tc>
        <w:tc>
          <w:tcPr>
            <w:tcW w:type="dxa" w:w="1306"/>
          </w:tcPr>
          <w:p>
            <w:r/>
            <w:r>
              <w:rPr>
                <w:b w:val="0"/>
                <w:color w:val="1F2328"/>
                <w:sz w:val="18"/>
              </w:rPr>
              <w:t>Complete</w:t>
            </w:r>
          </w:p>
        </w:tc>
      </w:tr>
      <w:tr>
        <w:trPr>
          <w:cantSplit/>
        </w:trPr>
        <w:tc>
          <w:tcPr>
            <w:tcW w:type="dxa" w:w="1963"/>
          </w:tcPr>
          <w:p>
            <w:r/>
            <w:r>
              <w:rPr>
                <w:b w:val="0"/>
                <w:color w:val="1F2328"/>
                <w:sz w:val="18"/>
              </w:rPr>
              <w:t>Application logic and tenant isolation</w:t>
            </w:r>
          </w:p>
        </w:tc>
        <w:tc>
          <w:tcPr>
            <w:tcW w:type="dxa" w:w="2488"/>
          </w:tcPr>
          <w:p>
            <w:r/>
            <w:r>
              <w:rPr>
                <w:b w:val="0"/>
                <w:color w:val="1F2328"/>
                <w:sz w:val="18"/>
              </w:rPr>
              <w:t>Not delegated</w:t>
            </w:r>
          </w:p>
        </w:tc>
        <w:tc>
          <w:tcPr>
            <w:tcW w:type="dxa" w:w="2751"/>
          </w:tcPr>
          <w:p>
            <w:r/>
            <w:r>
              <w:rPr>
                <w:b w:val="0"/>
                <w:color w:val="1F2328"/>
                <w:sz w:val="18"/>
              </w:rPr>
              <w:t>Arcfield Platform code, RBAC, change and logging</w:t>
            </w:r>
          </w:p>
        </w:tc>
        <w:tc>
          <w:tcPr>
            <w:tcW w:type="dxa" w:w="1569"/>
          </w:tcPr>
          <w:p>
            <w:r/>
            <w:r>
              <w:rPr>
                <w:b w:val="0"/>
                <w:color w:val="1F2328"/>
                <w:sz w:val="18"/>
              </w:rPr>
              <w:t>SAS-EV-002</w:t>
            </w:r>
          </w:p>
        </w:tc>
        <w:tc>
          <w:tcPr>
            <w:tcW w:type="dxa" w:w="1306"/>
          </w:tcPr>
          <w:p>
            <w:r/>
            <w:r>
              <w:rPr>
                <w:b w:val="0"/>
                <w:color w:val="1F2328"/>
                <w:sz w:val="18"/>
              </w:rPr>
              <w:t>Complete</w:t>
            </w:r>
          </w:p>
        </w:tc>
      </w:tr>
      <w:tr>
        <w:trPr>
          <w:cantSplit/>
        </w:trPr>
        <w:tc>
          <w:tcPr>
            <w:tcW w:type="dxa" w:w="1963"/>
          </w:tcPr>
          <w:p>
            <w:r/>
            <w:r>
              <w:rPr>
                <w:b w:val="0"/>
                <w:color w:val="1F2328"/>
                <w:sz w:val="18"/>
              </w:rPr>
              <w:t>Complementary user entity controls (CUEC)</w:t>
            </w:r>
          </w:p>
        </w:tc>
        <w:tc>
          <w:tcPr>
            <w:tcW w:type="dxa" w:w="2488"/>
          </w:tcPr>
          <w:p>
            <w:r/>
            <w:r>
              <w:rPr>
                <w:b w:val="0"/>
                <w:color w:val="1F2328"/>
                <w:sz w:val="18"/>
              </w:rPr>
              <w:t>Not a Arcfield platform control</w:t>
            </w:r>
          </w:p>
        </w:tc>
        <w:tc>
          <w:tcPr>
            <w:tcW w:type="dxa" w:w="2751"/>
          </w:tcPr>
          <w:p>
            <w:r/>
            <w:r>
              <w:rPr>
                <w:b w:val="0"/>
                <w:color w:val="1F2328"/>
                <w:sz w:val="18"/>
              </w:rPr>
              <w:t>The CUEC process and template in the next chapter. Customer evidence packs are not in this file.</w:t>
            </w:r>
          </w:p>
        </w:tc>
        <w:tc>
          <w:tcPr>
            <w:tcW w:type="dxa" w:w="1569"/>
          </w:tcPr>
          <w:p>
            <w:r/>
            <w:r>
              <w:rPr>
                <w:b w:val="0"/>
                <w:color w:val="1F2328"/>
                <w:sz w:val="18"/>
              </w:rPr>
              <w:t>SAS-EV-002</w:t>
            </w:r>
          </w:p>
        </w:tc>
        <w:tc>
          <w:tcPr>
            <w:tcW w:type="dxa" w:w="1306"/>
          </w:tcPr>
          <w:p>
            <w:r/>
            <w:r>
              <w:rPr>
                <w:b w:val="0"/>
                <w:color w:val="1F2328"/>
                <w:sz w:val="18"/>
              </w:rPr>
              <w:t>Complete</w:t>
            </w:r>
          </w:p>
        </w:tc>
      </w:tr>
    </w:tbl>
    <w:p>
      <w:pPr>
        <w:spacing w:before="0" w:after="120"/>
      </w:pPr>
    </w:p>
    <w:p>
      <w:pPr>
        <w:pStyle w:val="974"/>
        <w:outlineLvl w:val="1"/>
      </w:pPr>
      <w:bookmarkStart w:id="18" w:name="_TocRAM015"/>
      <w:r>
        <w:t>Complementary user entity controls</w:t>
      </w:r>
      <w:bookmarkEnd w:id="18"/>
    </w:p>
    <w:p>
      <w:r>
        <w:rPr>
          <w:b w:val="0"/>
        </w:rPr>
        <w:t>Arcfield operates Arcfield Platform. Customer organizations and their administrators remain responsible for complementary user entity controls (CUEC). This chapter records the CUEC process and the template customer organizations fill. It does not hold customer evidence. Completed packs stay with the customer; a pointer lives in the evidence repository. The auditor samples both on request.</w:t>
      </w:r>
    </w:p>
    <w:tbl>
      <w:tblPr>
        <w:tblStyle w:val="1033"/>
        <w:tblW w:type="dxa" w:w="10077"/>
        <w:jc w:val="left"/>
        <w:tblLayout w:type="fixed"/>
        <w:tblLook w:firstColumn="1" w:firstRow="1" w:lastColumn="0" w:lastRow="0" w:noHBand="0" w:noVBand="1" w:val="04A0"/>
      </w:tblPr>
      <w:tblGrid>
        <w:gridCol w:w="2681"/>
        <w:gridCol w:w="2169"/>
        <w:gridCol w:w="2425"/>
        <w:gridCol w:w="1529"/>
        <w:gridCol w:w="1273"/>
      </w:tblGrid>
      <w:tr>
        <w:trPr>
          <w:tblHeader/>
          <w:cantSplit/>
        </w:trPr>
        <w:tc>
          <w:tcPr>
            <w:tcW w:type="dxa" w:w="2681"/>
            <w:shd w:fill="F7F9FC"/>
          </w:tcPr>
          <w:p>
            <w:r/>
            <w:r>
              <w:rPr>
                <w:b/>
                <w:color w:val="1F6FEB"/>
                <w:sz w:val="18"/>
              </w:rPr>
              <w:t>CUEC</w:t>
            </w:r>
          </w:p>
        </w:tc>
        <w:tc>
          <w:tcPr>
            <w:tcW w:type="dxa" w:w="2169"/>
            <w:shd w:fill="F7F9FC"/>
          </w:tcPr>
          <w:p>
            <w:r/>
            <w:r>
              <w:rPr>
                <w:b/>
                <w:color w:val="1F6FEB"/>
                <w:sz w:val="18"/>
              </w:rPr>
              <w:t>Customer still evidences</w:t>
            </w:r>
          </w:p>
        </w:tc>
        <w:tc>
          <w:tcPr>
            <w:tcW w:type="dxa" w:w="2425"/>
            <w:shd w:fill="F7F9FC"/>
          </w:tcPr>
          <w:p>
            <w:r/>
            <w:r>
              <w:rPr>
                <w:b/>
                <w:color w:val="1F6FEB"/>
                <w:sz w:val="18"/>
              </w:rPr>
              <w:t>Arcfield still evidences</w:t>
            </w:r>
          </w:p>
        </w:tc>
        <w:tc>
          <w:tcPr>
            <w:tcW w:type="dxa" w:w="1529"/>
            <w:shd w:fill="F7F9FC"/>
          </w:tcPr>
          <w:p>
            <w:r/>
            <w:r>
              <w:rPr>
                <w:b/>
                <w:color w:val="1F6FEB"/>
                <w:sz w:val="18"/>
              </w:rPr>
              <w:t>Evidence reference</w:t>
            </w:r>
          </w:p>
        </w:tc>
        <w:tc>
          <w:tcPr>
            <w:tcW w:type="dxa" w:w="1273"/>
            <w:shd w:fill="F7F9FC"/>
          </w:tcPr>
          <w:p>
            <w:r/>
            <w:r>
              <w:rPr>
                <w:b/>
                <w:color w:val="1F6FEB"/>
                <w:sz w:val="18"/>
              </w:rPr>
              <w:t>Evidence status</w:t>
            </w:r>
          </w:p>
        </w:tc>
      </w:tr>
      <w:tr>
        <w:trPr>
          <w:cantSplit/>
        </w:trPr>
        <w:tc>
          <w:tcPr>
            <w:tcW w:type="dxa" w:w="2681"/>
          </w:tcPr>
          <w:p>
            <w:r/>
            <w:r>
              <w:rPr>
                <w:b w:val="0"/>
                <w:color w:val="1F2328"/>
                <w:sz w:val="18"/>
              </w:rPr>
              <w:t>Workforce identity at the customer</w:t>
            </w:r>
          </w:p>
        </w:tc>
        <w:tc>
          <w:tcPr>
            <w:tcW w:type="dxa" w:w="2169"/>
          </w:tcPr>
          <w:p>
            <w:r/>
            <w:r>
              <w:rPr>
                <w:b w:val="0"/>
                <w:color w:val="1F2328"/>
                <w:sz w:val="18"/>
              </w:rPr>
              <w:t>Joiners, movers and leavers for customer-owned directories that federate into Arcfield Platform.</w:t>
            </w:r>
          </w:p>
        </w:tc>
        <w:tc>
          <w:tcPr>
            <w:tcW w:type="dxa" w:w="2425"/>
          </w:tcPr>
          <w:p>
            <w:r/>
            <w:r>
              <w:rPr>
                <w:b w:val="0"/>
                <w:color w:val="1F2328"/>
                <w:sz w:val="18"/>
              </w:rPr>
              <w:t>SSO and MFA on the Arcfield Platform identity-provider tenant.</w:t>
            </w:r>
          </w:p>
        </w:tc>
        <w:tc>
          <w:tcPr>
            <w:tcW w:type="dxa" w:w="1529"/>
          </w:tcPr>
          <w:p>
            <w:r/>
            <w:r>
              <w:rPr>
                <w:b w:val="0"/>
                <w:color w:val="1F2328"/>
                <w:sz w:val="18"/>
              </w:rPr>
              <w:t>SAS-EV-007</w:t>
            </w:r>
          </w:p>
        </w:tc>
        <w:tc>
          <w:tcPr>
            <w:tcW w:type="dxa" w:w="1273"/>
          </w:tcPr>
          <w:p>
            <w:r/>
            <w:r>
              <w:rPr>
                <w:b w:val="0"/>
                <w:color w:val="1F2328"/>
                <w:sz w:val="18"/>
              </w:rPr>
              <w:t>Complete</w:t>
            </w:r>
          </w:p>
        </w:tc>
      </w:tr>
      <w:tr>
        <w:trPr>
          <w:cantSplit/>
        </w:trPr>
        <w:tc>
          <w:tcPr>
            <w:tcW w:type="dxa" w:w="2681"/>
          </w:tcPr>
          <w:p>
            <w:r/>
            <w:r>
              <w:rPr>
                <w:b w:val="0"/>
                <w:color w:val="1F2328"/>
                <w:sz w:val="18"/>
              </w:rPr>
              <w:t>MFA on customer-controlled endpoints</w:t>
            </w:r>
          </w:p>
        </w:tc>
        <w:tc>
          <w:tcPr>
            <w:tcW w:type="dxa" w:w="2169"/>
          </w:tcPr>
          <w:p>
            <w:r/>
            <w:r>
              <w:rPr>
                <w:b w:val="0"/>
                <w:color w:val="1F2328"/>
                <w:sz w:val="18"/>
              </w:rPr>
              <w:t>Device and authenticator policy for customer staff who open Arcfield Platform.</w:t>
            </w:r>
          </w:p>
        </w:tc>
        <w:tc>
          <w:tcPr>
            <w:tcW w:type="dxa" w:w="2425"/>
          </w:tcPr>
          <w:p>
            <w:r/>
            <w:r>
              <w:rPr>
                <w:b w:val="0"/>
                <w:color w:val="1F2328"/>
                <w:sz w:val="18"/>
              </w:rPr>
              <w:t>MFA required on the Arcfield Platform login path.</w:t>
            </w:r>
          </w:p>
        </w:tc>
        <w:tc>
          <w:tcPr>
            <w:tcW w:type="dxa" w:w="1529"/>
          </w:tcPr>
          <w:p>
            <w:r/>
            <w:r>
              <w:rPr>
                <w:b w:val="0"/>
                <w:color w:val="1F2328"/>
                <w:sz w:val="18"/>
              </w:rPr>
              <w:t>SAS-EV-007</w:t>
            </w:r>
          </w:p>
        </w:tc>
        <w:tc>
          <w:tcPr>
            <w:tcW w:type="dxa" w:w="1273"/>
          </w:tcPr>
          <w:p>
            <w:r/>
            <w:r>
              <w:rPr>
                <w:b w:val="0"/>
                <w:color w:val="1F2328"/>
                <w:sz w:val="18"/>
              </w:rPr>
              <w:t>Complete</w:t>
            </w:r>
          </w:p>
        </w:tc>
      </w:tr>
      <w:tr>
        <w:trPr>
          <w:cantSplit/>
        </w:trPr>
        <w:tc>
          <w:tcPr>
            <w:tcW w:type="dxa" w:w="2681"/>
          </w:tcPr>
          <w:p>
            <w:r/>
            <w:r>
              <w:rPr>
                <w:b w:val="0"/>
                <w:color w:val="1F2328"/>
                <w:sz w:val="18"/>
              </w:rPr>
              <w:t>Who may request production support access</w:t>
            </w:r>
          </w:p>
        </w:tc>
        <w:tc>
          <w:tcPr>
            <w:tcW w:type="dxa" w:w="2169"/>
          </w:tcPr>
          <w:p>
            <w:r/>
            <w:r>
              <w:rPr>
                <w:b w:val="0"/>
                <w:color w:val="1F2328"/>
                <w:sz w:val="18"/>
              </w:rPr>
              <w:t>Named customer contacts who may open privileged support requests.</w:t>
            </w:r>
          </w:p>
        </w:tc>
        <w:tc>
          <w:tcPr>
            <w:tcW w:type="dxa" w:w="2425"/>
          </w:tcPr>
          <w:p>
            <w:r/>
            <w:r>
              <w:rPr>
                <w:b w:val="0"/>
                <w:color w:val="1F2328"/>
                <w:sz w:val="18"/>
              </w:rPr>
              <w:t>Time-bound support roles; no standing production SSH.</w:t>
            </w:r>
          </w:p>
        </w:tc>
        <w:tc>
          <w:tcPr>
            <w:tcW w:type="dxa" w:w="1529"/>
          </w:tcPr>
          <w:p>
            <w:r/>
            <w:r>
              <w:rPr>
                <w:b w:val="0"/>
                <w:color w:val="1F2328"/>
                <w:sz w:val="18"/>
              </w:rPr>
              <w:t>SAS-EV-007</w:t>
            </w:r>
          </w:p>
        </w:tc>
        <w:tc>
          <w:tcPr>
            <w:tcW w:type="dxa" w:w="1273"/>
          </w:tcPr>
          <w:p>
            <w:r/>
            <w:r>
              <w:rPr>
                <w:b w:val="0"/>
                <w:color w:val="1F2328"/>
                <w:sz w:val="18"/>
              </w:rPr>
              <w:t>Complete</w:t>
            </w:r>
          </w:p>
        </w:tc>
      </w:tr>
      <w:tr>
        <w:trPr>
          <w:cantSplit/>
        </w:trPr>
        <w:tc>
          <w:tcPr>
            <w:tcW w:type="dxa" w:w="2681"/>
          </w:tcPr>
          <w:p>
            <w:r/>
            <w:r>
              <w:rPr>
                <w:b w:val="0"/>
                <w:color w:val="1F2328"/>
                <w:sz w:val="18"/>
              </w:rPr>
              <w:t>Customer-held exports and local records</w:t>
            </w:r>
          </w:p>
        </w:tc>
        <w:tc>
          <w:tcPr>
            <w:tcW w:type="dxa" w:w="2169"/>
          </w:tcPr>
          <w:p>
            <w:r/>
            <w:r>
              <w:rPr>
                <w:b w:val="0"/>
                <w:color w:val="1F2328"/>
                <w:sz w:val="18"/>
              </w:rPr>
              <w:t>Retention and deletion of configuration exports the customer downloads.</w:t>
            </w:r>
          </w:p>
        </w:tc>
        <w:tc>
          <w:tcPr>
            <w:tcW w:type="dxa" w:w="2425"/>
          </w:tcPr>
          <w:p>
            <w:r/>
            <w:r>
              <w:rPr>
                <w:b w:val="0"/>
                <w:color w:val="1F2328"/>
                <w:sz w:val="18"/>
              </w:rPr>
              <w:t>Retention in Arcfield Platform stores named in the data-locations table.</w:t>
            </w:r>
          </w:p>
        </w:tc>
        <w:tc>
          <w:tcPr>
            <w:tcW w:type="dxa" w:w="1529"/>
          </w:tcPr>
          <w:p>
            <w:r/>
            <w:r>
              <w:rPr>
                <w:b w:val="0"/>
                <w:color w:val="1F2328"/>
                <w:sz w:val="18"/>
              </w:rPr>
              <w:t>SAS-EV-007</w:t>
            </w:r>
          </w:p>
        </w:tc>
        <w:tc>
          <w:tcPr>
            <w:tcW w:type="dxa" w:w="1273"/>
          </w:tcPr>
          <w:p>
            <w:r/>
            <w:r>
              <w:rPr>
                <w:b w:val="0"/>
                <w:color w:val="1F2328"/>
                <w:sz w:val="18"/>
              </w:rPr>
              <w:t>Complete</w:t>
            </w:r>
          </w:p>
        </w:tc>
      </w:tr>
      <w:tr>
        <w:trPr>
          <w:cantSplit/>
        </w:trPr>
        <w:tc>
          <w:tcPr>
            <w:tcW w:type="dxa" w:w="2681"/>
          </w:tcPr>
          <w:p>
            <w:r/>
            <w:r>
              <w:rPr>
                <w:b w:val="0"/>
                <w:color w:val="1F2328"/>
                <w:sz w:val="18"/>
              </w:rPr>
              <w:t>Customer-side backup of downloaded files</w:t>
            </w:r>
          </w:p>
        </w:tc>
        <w:tc>
          <w:tcPr>
            <w:tcW w:type="dxa" w:w="2169"/>
          </w:tcPr>
          <w:p>
            <w:r/>
            <w:r>
              <w:rPr>
                <w:b w:val="0"/>
                <w:color w:val="1F2328"/>
                <w:sz w:val="18"/>
              </w:rPr>
              <w:t>Backup of files the customer stores outside Arcfield Platform.</w:t>
            </w:r>
          </w:p>
        </w:tc>
        <w:tc>
          <w:tcPr>
            <w:tcW w:type="dxa" w:w="2425"/>
          </w:tcPr>
          <w:p>
            <w:r/>
            <w:r>
              <w:rPr>
                <w:b w:val="0"/>
                <w:color w:val="1F2328"/>
                <w:sz w:val="18"/>
              </w:rPr>
              <w:t>Encrypted in-region backup of Arcfield Platform production.</w:t>
            </w:r>
          </w:p>
        </w:tc>
        <w:tc>
          <w:tcPr>
            <w:tcW w:type="dxa" w:w="1529"/>
          </w:tcPr>
          <w:p>
            <w:r/>
            <w:r>
              <w:rPr>
                <w:b w:val="0"/>
                <w:color w:val="1F2328"/>
                <w:sz w:val="18"/>
              </w:rPr>
              <w:t>SAS-EV-007</w:t>
            </w:r>
          </w:p>
        </w:tc>
        <w:tc>
          <w:tcPr>
            <w:tcW w:type="dxa" w:w="1273"/>
          </w:tcPr>
          <w:p>
            <w:r/>
            <w:r>
              <w:rPr>
                <w:b w:val="0"/>
                <w:color w:val="1F2328"/>
                <w:sz w:val="18"/>
              </w:rPr>
              <w:t>Complete</w:t>
            </w:r>
          </w:p>
        </w:tc>
      </w:tr>
      <w:tr>
        <w:trPr>
          <w:cantSplit/>
        </w:trPr>
        <w:tc>
          <w:tcPr>
            <w:tcW w:type="dxa" w:w="2681"/>
          </w:tcPr>
          <w:p>
            <w:r/>
            <w:r>
              <w:rPr>
                <w:b w:val="0"/>
                <w:color w:val="1F2328"/>
                <w:sz w:val="18"/>
              </w:rPr>
              <w:t>Acceptable use for customer administrators</w:t>
            </w:r>
          </w:p>
        </w:tc>
        <w:tc>
          <w:tcPr>
            <w:tcW w:type="dxa" w:w="2169"/>
          </w:tcPr>
          <w:p>
            <w:r/>
            <w:r>
              <w:rPr>
                <w:b w:val="0"/>
                <w:color w:val="1F2328"/>
                <w:sz w:val="18"/>
              </w:rPr>
              <w:t>Local acceptable-use and sanction rules for tenant administrators.</w:t>
            </w:r>
          </w:p>
        </w:tc>
        <w:tc>
          <w:tcPr>
            <w:tcW w:type="dxa" w:w="2425"/>
          </w:tcPr>
          <w:p>
            <w:r/>
            <w:r>
              <w:rPr>
                <w:b w:val="0"/>
                <w:color w:val="1F2328"/>
                <w:sz w:val="18"/>
              </w:rPr>
              <w:t>RBAC and audit logging inside Arcfield Platform.</w:t>
            </w:r>
          </w:p>
        </w:tc>
        <w:tc>
          <w:tcPr>
            <w:tcW w:type="dxa" w:w="1529"/>
          </w:tcPr>
          <w:p>
            <w:r/>
            <w:r>
              <w:rPr>
                <w:b w:val="0"/>
                <w:color w:val="1F2328"/>
                <w:sz w:val="18"/>
              </w:rPr>
              <w:t>SAS-EV-007</w:t>
            </w:r>
          </w:p>
        </w:tc>
        <w:tc>
          <w:tcPr>
            <w:tcW w:type="dxa" w:w="1273"/>
          </w:tcPr>
          <w:p>
            <w:r/>
            <w:r>
              <w:rPr>
                <w:b w:val="0"/>
                <w:color w:val="1F2328"/>
                <w:sz w:val="18"/>
              </w:rPr>
              <w:t>Complete</w:t>
            </w:r>
          </w:p>
        </w:tc>
      </w:tr>
    </w:tbl>
    <w:p>
      <w:pPr>
        <w:spacing w:before="0" w:after="120"/>
      </w:pPr>
    </w:p>
    <w:p>
      <w:pPr>
        <w:pStyle w:val="974"/>
        <w:outlineLvl w:val="1"/>
      </w:pPr>
      <w:bookmarkStart w:id="19" w:name="_TocRAM016"/>
      <w:r>
        <w:t>Data types, locations and jurisdiction</w:t>
      </w:r>
      <w:bookmarkEnd w:id="19"/>
    </w:p>
    <w:p>
      <w:r>
        <w:rPr>
          <w:b w:val="0"/>
        </w:rPr>
        <w:t>Name the information class, the store and the jurisdiction. Do not hide customer data behind a product name. Review this table when a new pipeline or region is proposed.</w:t>
      </w:r>
    </w:p>
    <w:tbl>
      <w:tblPr>
        <w:tblStyle w:val="1033"/>
        <w:tblW w:type="dxa" w:w="10080"/>
        <w:jc w:val="left"/>
        <w:tblLayout w:type="fixed"/>
        <w:tblLook w:firstColumn="1" w:firstRow="1" w:lastColumn="0" w:lastRow="0" w:noHBand="0" w:noVBand="1" w:val="04A0"/>
      </w:tblPr>
      <w:tblGrid>
        <w:gridCol w:w="1432"/>
        <w:gridCol w:w="1144"/>
        <w:gridCol w:w="3858"/>
        <w:gridCol w:w="3646"/>
      </w:tblGrid>
      <w:tr>
        <w:trPr>
          <w:tblHeader/>
          <w:cantSplit/>
        </w:trPr>
        <w:tc>
          <w:tcPr>
            <w:tcW w:type="dxa" w:w="1432"/>
            <w:shd w:fill="F7F9FC"/>
          </w:tcPr>
          <w:p>
            <w:r/>
            <w:r>
              <w:rPr>
                <w:b/>
                <w:color w:val="1F6FEB"/>
                <w:sz w:val="18"/>
              </w:rPr>
              <w:t>Data type</w:t>
            </w:r>
          </w:p>
        </w:tc>
        <w:tc>
          <w:tcPr>
            <w:tcW w:type="dxa" w:w="1144"/>
            <w:shd w:fill="F7F9FC"/>
          </w:tcPr>
          <w:p>
            <w:r/>
            <w:r>
              <w:rPr>
                <w:b/>
                <w:color w:val="1F6FEB"/>
                <w:sz w:val="18"/>
              </w:rPr>
              <w:t>Store</w:t>
            </w:r>
          </w:p>
        </w:tc>
        <w:tc>
          <w:tcPr>
            <w:tcW w:type="dxa" w:w="3858"/>
            <w:shd w:fill="F7F9FC"/>
          </w:tcPr>
          <w:p>
            <w:r/>
            <w:r>
              <w:rPr>
                <w:b/>
                <w:color w:val="1F6FEB"/>
                <w:sz w:val="18"/>
              </w:rPr>
              <w:t>Region / jurisdiction</w:t>
            </w:r>
          </w:p>
        </w:tc>
        <w:tc>
          <w:tcPr>
            <w:tcW w:type="dxa" w:w="3646"/>
            <w:shd w:fill="F7F9FC"/>
          </w:tcPr>
          <w:p>
            <w:r/>
            <w:r>
              <w:rPr>
                <w:b/>
                <w:color w:val="1F6FEB"/>
                <w:sz w:val="18"/>
              </w:rPr>
              <w:t>Retention trigger</w:t>
            </w:r>
          </w:p>
        </w:tc>
      </w:tr>
      <w:tr>
        <w:trPr>
          <w:cantSplit/>
        </w:trPr>
        <w:tc>
          <w:tcPr>
            <w:tcW w:type="dxa" w:w="1432"/>
          </w:tcPr>
          <w:p>
            <w:r/>
            <w:r>
              <w:rPr>
                <w:b w:val="0"/>
                <w:color w:val="1F2328"/>
                <w:sz w:val="18"/>
              </w:rPr>
              <w:t>Customer PII and limited payment metadata (no card data)</w:t>
            </w:r>
          </w:p>
        </w:tc>
        <w:tc>
          <w:tcPr>
            <w:tcW w:type="dxa" w:w="1144"/>
          </w:tcPr>
          <w:p>
            <w:r/>
            <w:r>
              <w:rPr>
                <w:b w:val="0"/>
                <w:color w:val="1F2328"/>
                <w:sz w:val="18"/>
              </w:rPr>
              <w:t>Tenant A data store / Tenant B data store</w:t>
            </w:r>
          </w:p>
        </w:tc>
        <w:tc>
          <w:tcPr>
            <w:tcW w:type="dxa" w:w="3858"/>
          </w:tcPr>
          <w:p>
            <w:r/>
            <w:r>
              <w:rPr>
                <w:b w:val="0"/>
                <w:color w:val="1F2328"/>
                <w:sz w:val="18"/>
              </w:rPr>
              <w:t>EU cloud region; card data is not stored</w:t>
            </w:r>
          </w:p>
        </w:tc>
        <w:tc>
          <w:tcPr>
            <w:tcW w:type="dxa" w:w="3646"/>
          </w:tcPr>
          <w:p>
            <w:r/>
            <w:r>
              <w:rPr>
                <w:b w:val="0"/>
                <w:color w:val="1F2328"/>
                <w:sz w:val="18"/>
              </w:rPr>
              <w:t>Tenant offboarding plus legal hold</w:t>
            </w:r>
          </w:p>
        </w:tc>
      </w:tr>
    </w:tbl>
    <w:p>
      <w:pPr>
        <w:spacing w:before="0" w:after="120"/>
      </w:pPr>
    </w:p>
    <w:tbl>
      <w:tblPr>
        <w:tblStyle w:val="1033"/>
        <w:tblW w:type="dxa" w:w="10076"/>
        <w:jc w:val="left"/>
        <w:tblLayout w:type="fixed"/>
        <w:tblLook w:firstColumn="1" w:firstRow="1" w:lastColumn="0" w:lastRow="0" w:noHBand="0" w:noVBand="1" w:val="04A0"/>
      </w:tblPr>
      <w:tblGrid>
        <w:gridCol w:w="2129"/>
        <w:gridCol w:w="1455"/>
        <w:gridCol w:w="2466"/>
        <w:gridCol w:w="1567"/>
        <w:gridCol w:w="1342"/>
        <w:gridCol w:w="1117"/>
      </w:tblGrid>
      <w:tr>
        <w:trPr>
          <w:tblHeader/>
          <w:cantSplit/>
        </w:trPr>
        <w:tc>
          <w:tcPr>
            <w:tcW w:type="dxa" w:w="2129"/>
            <w:shd w:fill="F7F9FC"/>
          </w:tcPr>
          <w:p>
            <w:r/>
            <w:r>
              <w:rPr>
                <w:b/>
                <w:color w:val="1F6FEB"/>
                <w:sz w:val="18"/>
              </w:rPr>
              <w:t>Data type</w:t>
            </w:r>
          </w:p>
        </w:tc>
        <w:tc>
          <w:tcPr>
            <w:tcW w:type="dxa" w:w="1455"/>
            <w:shd w:fill="F7F9FC"/>
          </w:tcPr>
          <w:p>
            <w:r/>
            <w:r>
              <w:rPr>
                <w:b/>
                <w:color w:val="1F6FEB"/>
                <w:sz w:val="18"/>
              </w:rPr>
              <w:t>Store</w:t>
            </w:r>
          </w:p>
        </w:tc>
        <w:tc>
          <w:tcPr>
            <w:tcW w:type="dxa" w:w="2466"/>
            <w:shd w:fill="F7F9FC"/>
          </w:tcPr>
          <w:p>
            <w:r/>
            <w:r>
              <w:rPr>
                <w:b/>
                <w:color w:val="1F6FEB"/>
                <w:sz w:val="18"/>
              </w:rPr>
              <w:t>Region / jurisdiction</w:t>
            </w:r>
          </w:p>
        </w:tc>
        <w:tc>
          <w:tcPr>
            <w:tcW w:type="dxa" w:w="1567"/>
            <w:shd w:fill="F7F9FC"/>
          </w:tcPr>
          <w:p>
            <w:r/>
            <w:r>
              <w:rPr>
                <w:b/>
                <w:color w:val="1F6FEB"/>
                <w:sz w:val="18"/>
              </w:rPr>
              <w:t>Retention trigger</w:t>
            </w:r>
          </w:p>
        </w:tc>
        <w:tc>
          <w:tcPr>
            <w:tcW w:type="dxa" w:w="1342"/>
            <w:shd w:fill="F7F9FC"/>
          </w:tcPr>
          <w:p>
            <w:r/>
            <w:r>
              <w:rPr>
                <w:b/>
                <w:color w:val="1F6FEB"/>
                <w:sz w:val="18"/>
              </w:rPr>
              <w:t>Evidence reference</w:t>
            </w:r>
          </w:p>
        </w:tc>
        <w:tc>
          <w:tcPr>
            <w:tcW w:type="dxa" w:w="1117"/>
            <w:shd w:fill="F7F9FC"/>
          </w:tcPr>
          <w:p>
            <w:r/>
            <w:r>
              <w:rPr>
                <w:b/>
                <w:color w:val="1F6FEB"/>
                <w:sz w:val="18"/>
              </w:rPr>
              <w:t>Evidence status</w:t>
            </w:r>
          </w:p>
        </w:tc>
      </w:tr>
      <w:tr>
        <w:trPr>
          <w:cantSplit/>
        </w:trPr>
        <w:tc>
          <w:tcPr>
            <w:tcW w:type="dxa" w:w="2129"/>
          </w:tcPr>
          <w:p>
            <w:r/>
            <w:r>
              <w:rPr>
                <w:b w:val="0"/>
                <w:color w:val="1F2328"/>
                <w:sz w:val="18"/>
              </w:rPr>
              <w:t>Tenant configuration and workflow records</w:t>
            </w:r>
          </w:p>
        </w:tc>
        <w:tc>
          <w:tcPr>
            <w:tcW w:type="dxa" w:w="1455"/>
          </w:tcPr>
          <w:p>
            <w:r/>
            <w:r>
              <w:rPr>
                <w:b w:val="0"/>
                <w:color w:val="1F2328"/>
                <w:sz w:val="18"/>
              </w:rPr>
              <w:t>Tenant A data store / Tenant B data store</w:t>
            </w:r>
          </w:p>
        </w:tc>
        <w:tc>
          <w:tcPr>
            <w:tcW w:type="dxa" w:w="2466"/>
          </w:tcPr>
          <w:p>
            <w:r/>
            <w:r>
              <w:rPr>
                <w:b w:val="0"/>
                <w:color w:val="1F2328"/>
                <w:sz w:val="18"/>
              </w:rPr>
              <w:t>EU cloud region, Arcfield processing as controller/processor per DPA</w:t>
            </w:r>
          </w:p>
        </w:tc>
        <w:tc>
          <w:tcPr>
            <w:tcW w:type="dxa" w:w="1567"/>
          </w:tcPr>
          <w:p>
            <w:r/>
            <w:r>
              <w:rPr>
                <w:b w:val="0"/>
                <w:color w:val="1F2328"/>
                <w:sz w:val="18"/>
              </w:rPr>
              <w:t>Tenant offboarding plus legal hold</w:t>
            </w:r>
          </w:p>
        </w:tc>
        <w:tc>
          <w:tcPr>
            <w:tcW w:type="dxa" w:w="1342"/>
          </w:tcPr>
          <w:p>
            <w:r/>
            <w:r>
              <w:rPr>
                <w:b w:val="0"/>
                <w:color w:val="1F2328"/>
                <w:sz w:val="18"/>
              </w:rPr>
              <w:t>SAS-EV-003</w:t>
            </w:r>
          </w:p>
        </w:tc>
        <w:tc>
          <w:tcPr>
            <w:tcW w:type="dxa" w:w="1117"/>
          </w:tcPr>
          <w:p>
            <w:r/>
            <w:r>
              <w:rPr>
                <w:b w:val="0"/>
                <w:color w:val="1F2328"/>
                <w:sz w:val="18"/>
              </w:rPr>
              <w:t>Complete</w:t>
            </w:r>
          </w:p>
        </w:tc>
      </w:tr>
      <w:tr>
        <w:trPr>
          <w:cantSplit/>
        </w:trPr>
        <w:tc>
          <w:tcPr>
            <w:tcW w:type="dxa" w:w="2129"/>
          </w:tcPr>
          <w:p>
            <w:r/>
            <w:r>
              <w:rPr>
                <w:b w:val="0"/>
                <w:color w:val="1F2328"/>
                <w:sz w:val="18"/>
              </w:rPr>
              <w:t>Support tickets and attachments</w:t>
            </w:r>
          </w:p>
        </w:tc>
        <w:tc>
          <w:tcPr>
            <w:tcW w:type="dxa" w:w="1455"/>
          </w:tcPr>
          <w:p>
            <w:r/>
            <w:r>
              <w:rPr>
                <w:b w:val="0"/>
                <w:color w:val="1F2328"/>
                <w:sz w:val="18"/>
              </w:rPr>
              <w:t>Support platform</w:t>
            </w:r>
          </w:p>
        </w:tc>
        <w:tc>
          <w:tcPr>
            <w:tcW w:type="dxa" w:w="2466"/>
          </w:tcPr>
          <w:p>
            <w:r/>
            <w:r>
              <w:rPr>
                <w:b w:val="0"/>
                <w:color w:val="1F2328"/>
                <w:sz w:val="18"/>
              </w:rPr>
              <w:t>Provider EU region; Arcfield DPA in force</w:t>
            </w:r>
          </w:p>
        </w:tc>
        <w:tc>
          <w:tcPr>
            <w:tcW w:type="dxa" w:w="1567"/>
          </w:tcPr>
          <w:p>
            <w:r/>
            <w:r>
              <w:rPr>
                <w:b w:val="0"/>
                <w:color w:val="1F2328"/>
                <w:sz w:val="18"/>
              </w:rPr>
              <w:t>Ticket close plus published retention</w:t>
            </w:r>
          </w:p>
        </w:tc>
        <w:tc>
          <w:tcPr>
            <w:tcW w:type="dxa" w:w="1342"/>
          </w:tcPr>
          <w:p>
            <w:r/>
            <w:r>
              <w:rPr>
                <w:b w:val="0"/>
                <w:color w:val="1F2328"/>
                <w:sz w:val="18"/>
              </w:rPr>
              <w:t>SAS-EV-003</w:t>
            </w:r>
          </w:p>
        </w:tc>
        <w:tc>
          <w:tcPr>
            <w:tcW w:type="dxa" w:w="1117"/>
          </w:tcPr>
          <w:p>
            <w:r/>
            <w:r>
              <w:rPr>
                <w:b w:val="0"/>
                <w:color w:val="1F2328"/>
                <w:sz w:val="18"/>
              </w:rPr>
              <w:t>Complete</w:t>
            </w:r>
          </w:p>
        </w:tc>
      </w:tr>
      <w:tr>
        <w:trPr>
          <w:cantSplit/>
        </w:trPr>
        <w:tc>
          <w:tcPr>
            <w:tcW w:type="dxa" w:w="2129"/>
          </w:tcPr>
          <w:p>
            <w:r/>
            <w:r>
              <w:rPr>
                <w:b w:val="0"/>
                <w:color w:val="1F2328"/>
                <w:sz w:val="18"/>
              </w:rPr>
              <w:t>Authentication and privileged-access logs</w:t>
            </w:r>
          </w:p>
        </w:tc>
        <w:tc>
          <w:tcPr>
            <w:tcW w:type="dxa" w:w="1455"/>
          </w:tcPr>
          <w:p>
            <w:r/>
            <w:r>
              <w:rPr>
                <w:b w:val="0"/>
                <w:color w:val="1F2328"/>
                <w:sz w:val="18"/>
              </w:rPr>
              <w:t>Logging and detection</w:t>
            </w:r>
          </w:p>
        </w:tc>
        <w:tc>
          <w:tcPr>
            <w:tcW w:type="dxa" w:w="2466"/>
          </w:tcPr>
          <w:p>
            <w:r/>
            <w:r>
              <w:rPr>
                <w:b w:val="0"/>
                <w:color w:val="1F2328"/>
                <w:sz w:val="18"/>
              </w:rPr>
              <w:t>EU cloud region</w:t>
            </w:r>
          </w:p>
        </w:tc>
        <w:tc>
          <w:tcPr>
            <w:tcW w:type="dxa" w:w="1567"/>
          </w:tcPr>
          <w:p>
            <w:r/>
            <w:r>
              <w:rPr>
                <w:b w:val="0"/>
                <w:color w:val="1F2328"/>
                <w:sz w:val="18"/>
              </w:rPr>
              <w:t>Security log retention rule</w:t>
            </w:r>
          </w:p>
        </w:tc>
        <w:tc>
          <w:tcPr>
            <w:tcW w:type="dxa" w:w="1342"/>
          </w:tcPr>
          <w:p>
            <w:r/>
            <w:r>
              <w:rPr>
                <w:b w:val="0"/>
                <w:color w:val="1F2328"/>
                <w:sz w:val="18"/>
              </w:rPr>
              <w:t>SAS-EV-003</w:t>
            </w:r>
          </w:p>
        </w:tc>
        <w:tc>
          <w:tcPr>
            <w:tcW w:type="dxa" w:w="1117"/>
          </w:tcPr>
          <w:p>
            <w:r/>
            <w:r>
              <w:rPr>
                <w:b w:val="0"/>
                <w:color w:val="1F2328"/>
                <w:sz w:val="18"/>
              </w:rPr>
              <w:t>Complete</w:t>
            </w:r>
          </w:p>
        </w:tc>
      </w:tr>
      <w:tr>
        <w:trPr>
          <w:cantSplit/>
        </w:trPr>
        <w:tc>
          <w:tcPr>
            <w:tcW w:type="dxa" w:w="2129"/>
          </w:tcPr>
          <w:p>
            <w:r/>
            <w:r>
              <w:rPr>
                <w:b w:val="0"/>
                <w:color w:val="1F2328"/>
                <w:sz w:val="18"/>
              </w:rPr>
              <w:t>Security events and traces</w:t>
            </w:r>
          </w:p>
        </w:tc>
        <w:tc>
          <w:tcPr>
            <w:tcW w:type="dxa" w:w="1455"/>
          </w:tcPr>
          <w:p>
            <w:r/>
            <w:r>
              <w:rPr>
                <w:b w:val="0"/>
                <w:color w:val="1F2328"/>
                <w:sz w:val="18"/>
              </w:rPr>
              <w:t>Security event correlation / Distributed tracing</w:t>
            </w:r>
          </w:p>
        </w:tc>
        <w:tc>
          <w:tcPr>
            <w:tcW w:type="dxa" w:w="2466"/>
          </w:tcPr>
          <w:p>
            <w:r/>
            <w:r>
              <w:rPr>
                <w:b w:val="0"/>
                <w:color w:val="1F2328"/>
                <w:sz w:val="18"/>
              </w:rPr>
              <w:t>EU cloud region</w:t>
            </w:r>
          </w:p>
        </w:tc>
        <w:tc>
          <w:tcPr>
            <w:tcW w:type="dxa" w:w="1567"/>
          </w:tcPr>
          <w:p>
            <w:r/>
            <w:r>
              <w:rPr>
                <w:b w:val="0"/>
                <w:color w:val="1F2328"/>
                <w:sz w:val="18"/>
              </w:rPr>
              <w:t>Security log retention rule</w:t>
            </w:r>
          </w:p>
        </w:tc>
        <w:tc>
          <w:tcPr>
            <w:tcW w:type="dxa" w:w="1342"/>
          </w:tcPr>
          <w:p>
            <w:r/>
            <w:r>
              <w:rPr>
                <w:b w:val="0"/>
                <w:color w:val="1F2328"/>
                <w:sz w:val="18"/>
              </w:rPr>
              <w:t>SAS-EV-003</w:t>
            </w:r>
          </w:p>
        </w:tc>
        <w:tc>
          <w:tcPr>
            <w:tcW w:type="dxa" w:w="1117"/>
          </w:tcPr>
          <w:p>
            <w:r/>
            <w:r>
              <w:rPr>
                <w:b w:val="0"/>
                <w:color w:val="1F2328"/>
                <w:sz w:val="18"/>
              </w:rPr>
              <w:t>Complete</w:t>
            </w:r>
          </w:p>
        </w:tc>
      </w:tr>
      <w:tr>
        <w:trPr>
          <w:cantSplit/>
        </w:trPr>
        <w:tc>
          <w:tcPr>
            <w:tcW w:type="dxa" w:w="2129"/>
          </w:tcPr>
          <w:p>
            <w:r/>
            <w:r>
              <w:rPr>
                <w:b w:val="0"/>
                <w:color w:val="1F2328"/>
                <w:sz w:val="18"/>
              </w:rPr>
              <w:t>Encrypted production backups</w:t>
            </w:r>
          </w:p>
        </w:tc>
        <w:tc>
          <w:tcPr>
            <w:tcW w:type="dxa" w:w="1455"/>
          </w:tcPr>
          <w:p>
            <w:r/>
            <w:r>
              <w:rPr>
                <w:b w:val="0"/>
                <w:color w:val="1F2328"/>
                <w:sz w:val="18"/>
              </w:rPr>
              <w:t>Backup and restore</w:t>
            </w:r>
          </w:p>
        </w:tc>
        <w:tc>
          <w:tcPr>
            <w:tcW w:type="dxa" w:w="2466"/>
          </w:tcPr>
          <w:p>
            <w:r/>
            <w:r>
              <w:rPr>
                <w:b w:val="0"/>
                <w:color w:val="1F2328"/>
                <w:sz w:val="18"/>
              </w:rPr>
              <w:t>Same EU region as Production platform</w:t>
            </w:r>
          </w:p>
        </w:tc>
        <w:tc>
          <w:tcPr>
            <w:tcW w:type="dxa" w:w="1567"/>
          </w:tcPr>
          <w:p>
            <w:r/>
            <w:r>
              <w:rPr>
                <w:b w:val="0"/>
                <w:color w:val="1F2328"/>
                <w:sz w:val="18"/>
              </w:rPr>
              <w:t>Backup retention and restore-test cycle</w:t>
            </w:r>
          </w:p>
        </w:tc>
        <w:tc>
          <w:tcPr>
            <w:tcW w:type="dxa" w:w="1342"/>
          </w:tcPr>
          <w:p>
            <w:r/>
            <w:r>
              <w:rPr>
                <w:b w:val="0"/>
                <w:color w:val="1F2328"/>
                <w:sz w:val="18"/>
              </w:rPr>
              <w:t>SAS-EV-003</w:t>
            </w:r>
          </w:p>
        </w:tc>
        <w:tc>
          <w:tcPr>
            <w:tcW w:type="dxa" w:w="1117"/>
          </w:tcPr>
          <w:p>
            <w:r/>
            <w:r>
              <w:rPr>
                <w:b w:val="0"/>
                <w:color w:val="1F2328"/>
                <w:sz w:val="18"/>
              </w:rPr>
              <w:t>Complete</w:t>
            </w:r>
          </w:p>
        </w:tc>
      </w:tr>
      <w:tr>
        <w:trPr>
          <w:cantSplit/>
        </w:trPr>
        <w:tc>
          <w:tcPr>
            <w:tcW w:type="dxa" w:w="2129"/>
          </w:tcPr>
          <w:p>
            <w:r/>
            <w:r>
              <w:rPr>
                <w:b w:val="0"/>
                <w:color w:val="1F2328"/>
                <w:sz w:val="18"/>
              </w:rPr>
              <w:t>ISMS documented information</w:t>
            </w:r>
          </w:p>
        </w:tc>
        <w:tc>
          <w:tcPr>
            <w:tcW w:type="dxa" w:w="1455"/>
          </w:tcPr>
          <w:p>
            <w:r/>
            <w:r>
              <w:rPr>
                <w:b w:val="0"/>
                <w:color w:val="1F2328"/>
                <w:sz w:val="18"/>
              </w:rPr>
              <w:t>ISMS evidence repository</w:t>
            </w:r>
          </w:p>
        </w:tc>
        <w:tc>
          <w:tcPr>
            <w:tcW w:type="dxa" w:w="2466"/>
          </w:tcPr>
          <w:p>
            <w:r/>
            <w:r>
              <w:rPr>
                <w:b w:val="0"/>
                <w:color w:val="1F2328"/>
                <w:sz w:val="18"/>
              </w:rPr>
              <w:t>EU, Arcfield-controlled</w:t>
            </w:r>
          </w:p>
        </w:tc>
        <w:tc>
          <w:tcPr>
            <w:tcW w:type="dxa" w:w="1567"/>
          </w:tcPr>
          <w:p>
            <w:r/>
            <w:r>
              <w:rPr>
                <w:b w:val="0"/>
                <w:color w:val="1F2328"/>
                <w:sz w:val="18"/>
              </w:rPr>
              <w:t>Document Control next review date</w:t>
            </w:r>
          </w:p>
        </w:tc>
        <w:tc>
          <w:tcPr>
            <w:tcW w:type="dxa" w:w="1342"/>
          </w:tcPr>
          <w:p>
            <w:r/>
            <w:r>
              <w:rPr>
                <w:b w:val="0"/>
                <w:color w:val="1F2328"/>
                <w:sz w:val="18"/>
              </w:rPr>
              <w:t>SAS-EV-003</w:t>
            </w:r>
          </w:p>
        </w:tc>
        <w:tc>
          <w:tcPr>
            <w:tcW w:type="dxa" w:w="1117"/>
          </w:tcPr>
          <w:p>
            <w:r/>
            <w:r>
              <w:rPr>
                <w:b w:val="0"/>
                <w:color w:val="1F2328"/>
                <w:sz w:val="18"/>
              </w:rPr>
              <w:t>Complete</w:t>
            </w:r>
          </w:p>
        </w:tc>
      </w:tr>
    </w:tbl>
    <w:p>
      <w:pPr>
        <w:spacing w:before="0" w:after="120"/>
      </w:pPr>
    </w:p>
    <w:p>
      <w:pPr>
        <w:pStyle w:val="974"/>
        <w:outlineLvl w:val="1"/>
      </w:pPr>
      <w:bookmarkStart w:id="20" w:name="_TocRAM017"/>
      <w:r>
        <w:t>Subprocessors and suppliers</w:t>
      </w:r>
      <w:bookmarkEnd w:id="20"/>
    </w:p>
    <w:p>
      <w:r>
        <w:rPr>
          <w:b w:val="0"/>
        </w:rPr>
        <w:t>List every supplier that can see Arcfield Platform customer data, authentication events or production change authority. An unnamed integration is an unnamed audit boundary.</w:t>
      </w:r>
    </w:p>
    <w:tbl>
      <w:tblPr>
        <w:tblStyle w:val="1033"/>
        <w:tblW w:type="dxa" w:w="10076"/>
        <w:jc w:val="left"/>
        <w:tblLayout w:type="fixed"/>
        <w:tblLook w:firstColumn="1" w:firstRow="1" w:lastColumn="0" w:lastRow="0" w:noHBand="0" w:noVBand="1" w:val="04A0"/>
      </w:tblPr>
      <w:tblGrid>
        <w:gridCol w:w="2214"/>
        <w:gridCol w:w="1350"/>
        <w:gridCol w:w="1597"/>
        <w:gridCol w:w="2214"/>
        <w:gridCol w:w="1474"/>
        <w:gridCol w:w="1227"/>
      </w:tblGrid>
      <w:tr>
        <w:trPr>
          <w:tblHeader/>
          <w:cantSplit/>
        </w:trPr>
        <w:tc>
          <w:tcPr>
            <w:tcW w:type="dxa" w:w="2214"/>
            <w:shd w:fill="F7F9FC"/>
          </w:tcPr>
          <w:p>
            <w:r/>
            <w:r>
              <w:rPr>
                <w:b/>
                <w:color w:val="1F6FEB"/>
                <w:sz w:val="18"/>
              </w:rPr>
              <w:t>Supplier</w:t>
            </w:r>
          </w:p>
        </w:tc>
        <w:tc>
          <w:tcPr>
            <w:tcW w:type="dxa" w:w="1350"/>
            <w:shd w:fill="F7F9FC"/>
          </w:tcPr>
          <w:p>
            <w:r/>
            <w:r>
              <w:rPr>
                <w:b/>
                <w:color w:val="1F6FEB"/>
                <w:sz w:val="18"/>
              </w:rPr>
              <w:t>Service</w:t>
            </w:r>
          </w:p>
        </w:tc>
        <w:tc>
          <w:tcPr>
            <w:tcW w:type="dxa" w:w="1597"/>
            <w:shd w:fill="F7F9FC"/>
          </w:tcPr>
          <w:p>
            <w:r/>
            <w:r>
              <w:rPr>
                <w:b/>
                <w:color w:val="1F6FEB"/>
                <w:sz w:val="18"/>
              </w:rPr>
              <w:t>Data or authority</w:t>
            </w:r>
          </w:p>
        </w:tc>
        <w:tc>
          <w:tcPr>
            <w:tcW w:type="dxa" w:w="2214"/>
            <w:shd w:fill="F7F9FC"/>
          </w:tcPr>
          <w:p>
            <w:r/>
            <w:r>
              <w:rPr>
                <w:b/>
                <w:color w:val="1F6FEB"/>
                <w:sz w:val="18"/>
              </w:rPr>
              <w:t>Record</w:t>
            </w:r>
          </w:p>
        </w:tc>
        <w:tc>
          <w:tcPr>
            <w:tcW w:type="dxa" w:w="1474"/>
            <w:shd w:fill="F7F9FC"/>
          </w:tcPr>
          <w:p>
            <w:r/>
            <w:r>
              <w:rPr>
                <w:b/>
                <w:color w:val="1F6FEB"/>
                <w:sz w:val="18"/>
              </w:rPr>
              <w:t>Evidence reference</w:t>
            </w:r>
          </w:p>
        </w:tc>
        <w:tc>
          <w:tcPr>
            <w:tcW w:type="dxa" w:w="1227"/>
            <w:shd w:fill="F7F9FC"/>
          </w:tcPr>
          <w:p>
            <w:r/>
            <w:r>
              <w:rPr>
                <w:b/>
                <w:color w:val="1F6FEB"/>
                <w:sz w:val="18"/>
              </w:rPr>
              <w:t>Evidence status</w:t>
            </w:r>
          </w:p>
        </w:tc>
      </w:tr>
      <w:tr>
        <w:trPr>
          <w:cantSplit/>
        </w:trPr>
        <w:tc>
          <w:tcPr>
            <w:tcW w:type="dxa" w:w="2214"/>
          </w:tcPr>
          <w:p>
            <w:r/>
            <w:r>
              <w:rPr>
                <w:b w:val="0"/>
                <w:color w:val="1F2328"/>
                <w:sz w:val="18"/>
              </w:rPr>
              <w:t>Cloud host</w:t>
            </w:r>
          </w:p>
        </w:tc>
        <w:tc>
          <w:tcPr>
            <w:tcW w:type="dxa" w:w="1350"/>
          </w:tcPr>
          <w:p>
            <w:r/>
            <w:r>
              <w:rPr>
                <w:b w:val="0"/>
                <w:color w:val="1F2328"/>
                <w:sz w:val="18"/>
              </w:rPr>
              <w:t>Compute, network, managed database</w:t>
            </w:r>
          </w:p>
        </w:tc>
        <w:tc>
          <w:tcPr>
            <w:tcW w:type="dxa" w:w="1597"/>
          </w:tcPr>
          <w:p>
            <w:r/>
            <w:r>
              <w:rPr>
                <w:b w:val="0"/>
                <w:color w:val="1F2328"/>
                <w:sz w:val="18"/>
              </w:rPr>
              <w:t>Encrypted data at rest, account IAM</w:t>
            </w:r>
          </w:p>
        </w:tc>
        <w:tc>
          <w:tcPr>
            <w:tcW w:type="dxa" w:w="2214"/>
          </w:tcPr>
          <w:p>
            <w:r/>
            <w:r>
              <w:rPr>
                <w:b w:val="0"/>
                <w:color w:val="1F2328"/>
                <w:sz w:val="18"/>
              </w:rPr>
              <w:t>SINV / DPA-CLOUD-2026</w:t>
            </w:r>
          </w:p>
        </w:tc>
        <w:tc>
          <w:tcPr>
            <w:tcW w:type="dxa" w:w="1474"/>
          </w:tcPr>
          <w:p>
            <w:r/>
            <w:r>
              <w:rPr>
                <w:b w:val="0"/>
                <w:color w:val="1F2328"/>
                <w:sz w:val="18"/>
              </w:rPr>
              <w:t>SAS-EV-003</w:t>
            </w:r>
          </w:p>
        </w:tc>
        <w:tc>
          <w:tcPr>
            <w:tcW w:type="dxa" w:w="1227"/>
          </w:tcPr>
          <w:p>
            <w:r/>
            <w:r>
              <w:rPr>
                <w:b w:val="0"/>
                <w:color w:val="1F2328"/>
                <w:sz w:val="18"/>
              </w:rPr>
              <w:t>Complete</w:t>
            </w:r>
          </w:p>
        </w:tc>
      </w:tr>
      <w:tr>
        <w:trPr>
          <w:cantSplit/>
        </w:trPr>
        <w:tc>
          <w:tcPr>
            <w:tcW w:type="dxa" w:w="2214"/>
          </w:tcPr>
          <w:p>
            <w:r/>
            <w:r>
              <w:rPr>
                <w:b w:val="0"/>
                <w:color w:val="1F2328"/>
                <w:sz w:val="18"/>
              </w:rPr>
              <w:t>Identity provider</w:t>
            </w:r>
          </w:p>
        </w:tc>
        <w:tc>
          <w:tcPr>
            <w:tcW w:type="dxa" w:w="1350"/>
          </w:tcPr>
          <w:p>
            <w:r/>
            <w:r>
              <w:rPr>
                <w:b w:val="0"/>
                <w:color w:val="1F2328"/>
                <w:sz w:val="18"/>
              </w:rPr>
              <w:t>SSO and MFA</w:t>
            </w:r>
          </w:p>
        </w:tc>
        <w:tc>
          <w:tcPr>
            <w:tcW w:type="dxa" w:w="1597"/>
          </w:tcPr>
          <w:p>
            <w:r/>
            <w:r>
              <w:rPr>
                <w:b w:val="0"/>
                <w:color w:val="1F2328"/>
                <w:sz w:val="18"/>
              </w:rPr>
              <w:t>Workforce identity events</w:t>
            </w:r>
          </w:p>
        </w:tc>
        <w:tc>
          <w:tcPr>
            <w:tcW w:type="dxa" w:w="2214"/>
          </w:tcPr>
          <w:p>
            <w:r/>
            <w:r>
              <w:rPr>
                <w:b w:val="0"/>
                <w:color w:val="1F2328"/>
                <w:sz w:val="18"/>
              </w:rPr>
              <w:t>SINV / DPA-IDP-2026</w:t>
            </w:r>
          </w:p>
        </w:tc>
        <w:tc>
          <w:tcPr>
            <w:tcW w:type="dxa" w:w="1474"/>
          </w:tcPr>
          <w:p>
            <w:r/>
            <w:r>
              <w:rPr>
                <w:b w:val="0"/>
                <w:color w:val="1F2328"/>
                <w:sz w:val="18"/>
              </w:rPr>
              <w:t>SAS-EV-003</w:t>
            </w:r>
          </w:p>
        </w:tc>
        <w:tc>
          <w:tcPr>
            <w:tcW w:type="dxa" w:w="1227"/>
          </w:tcPr>
          <w:p>
            <w:r/>
            <w:r>
              <w:rPr>
                <w:b w:val="0"/>
                <w:color w:val="1F2328"/>
                <w:sz w:val="18"/>
              </w:rPr>
              <w:t>Complete</w:t>
            </w:r>
          </w:p>
        </w:tc>
      </w:tr>
      <w:tr>
        <w:trPr>
          <w:cantSplit/>
        </w:trPr>
        <w:tc>
          <w:tcPr>
            <w:tcW w:type="dxa" w:w="2214"/>
          </w:tcPr>
          <w:p>
            <w:r/>
            <w:r>
              <w:rPr>
                <w:b w:val="0"/>
                <w:color w:val="1F2328"/>
                <w:sz w:val="18"/>
              </w:rPr>
              <w:t>Support platform</w:t>
            </w:r>
          </w:p>
        </w:tc>
        <w:tc>
          <w:tcPr>
            <w:tcW w:type="dxa" w:w="1350"/>
          </w:tcPr>
          <w:p>
            <w:r/>
            <w:r>
              <w:rPr>
                <w:b w:val="0"/>
                <w:color w:val="1F2328"/>
                <w:sz w:val="18"/>
              </w:rPr>
              <w:t>Ticketing</w:t>
            </w:r>
          </w:p>
        </w:tc>
        <w:tc>
          <w:tcPr>
            <w:tcW w:type="dxa" w:w="1597"/>
          </w:tcPr>
          <w:p>
            <w:r/>
            <w:r>
              <w:rPr>
                <w:b w:val="0"/>
                <w:color w:val="1F2328"/>
                <w:sz w:val="18"/>
              </w:rPr>
              <w:t>Tickets and attachments</w:t>
            </w:r>
          </w:p>
        </w:tc>
        <w:tc>
          <w:tcPr>
            <w:tcW w:type="dxa" w:w="2214"/>
          </w:tcPr>
          <w:p>
            <w:r/>
            <w:r>
              <w:rPr>
                <w:b w:val="0"/>
                <w:color w:val="1F2328"/>
                <w:sz w:val="18"/>
              </w:rPr>
              <w:t>SINV / DPA-SUPPORT-2026</w:t>
            </w:r>
          </w:p>
        </w:tc>
        <w:tc>
          <w:tcPr>
            <w:tcW w:type="dxa" w:w="1474"/>
          </w:tcPr>
          <w:p>
            <w:r/>
            <w:r>
              <w:rPr>
                <w:b w:val="0"/>
                <w:color w:val="1F2328"/>
                <w:sz w:val="18"/>
              </w:rPr>
              <w:t>SAS-EV-003</w:t>
            </w:r>
          </w:p>
        </w:tc>
        <w:tc>
          <w:tcPr>
            <w:tcW w:type="dxa" w:w="1227"/>
          </w:tcPr>
          <w:p>
            <w:r/>
            <w:r>
              <w:rPr>
                <w:b w:val="0"/>
                <w:color w:val="1F2328"/>
                <w:sz w:val="18"/>
              </w:rPr>
              <w:t>Complete</w:t>
            </w:r>
          </w:p>
        </w:tc>
      </w:tr>
      <w:tr>
        <w:trPr>
          <w:cantSplit/>
        </w:trPr>
        <w:tc>
          <w:tcPr>
            <w:tcW w:type="dxa" w:w="2214"/>
          </w:tcPr>
          <w:p>
            <w:r/>
            <w:r>
              <w:rPr>
                <w:b w:val="0"/>
                <w:color w:val="1F2328"/>
                <w:sz w:val="18"/>
              </w:rPr>
              <w:t>Backup provider</w:t>
            </w:r>
          </w:p>
        </w:tc>
        <w:tc>
          <w:tcPr>
            <w:tcW w:type="dxa" w:w="1350"/>
          </w:tcPr>
          <w:p>
            <w:r/>
            <w:r>
              <w:rPr>
                <w:b w:val="0"/>
                <w:color w:val="1F2328"/>
                <w:sz w:val="18"/>
              </w:rPr>
              <w:t>Object backup</w:t>
            </w:r>
          </w:p>
        </w:tc>
        <w:tc>
          <w:tcPr>
            <w:tcW w:type="dxa" w:w="1597"/>
          </w:tcPr>
          <w:p>
            <w:r/>
            <w:r>
              <w:rPr>
                <w:b w:val="0"/>
                <w:color w:val="1F2328"/>
                <w:sz w:val="18"/>
              </w:rPr>
              <w:t>Encrypted backups, restore API</w:t>
            </w:r>
          </w:p>
        </w:tc>
        <w:tc>
          <w:tcPr>
            <w:tcW w:type="dxa" w:w="2214"/>
          </w:tcPr>
          <w:p>
            <w:r/>
            <w:r>
              <w:rPr>
                <w:b w:val="0"/>
                <w:color w:val="1F2328"/>
                <w:sz w:val="18"/>
              </w:rPr>
              <w:t>SINV / DPA-BACKUP-2026</w:t>
            </w:r>
          </w:p>
        </w:tc>
        <w:tc>
          <w:tcPr>
            <w:tcW w:type="dxa" w:w="1474"/>
          </w:tcPr>
          <w:p>
            <w:r/>
            <w:r>
              <w:rPr>
                <w:b w:val="0"/>
                <w:color w:val="1F2328"/>
                <w:sz w:val="18"/>
              </w:rPr>
              <w:t>SAS-EV-003</w:t>
            </w:r>
          </w:p>
        </w:tc>
        <w:tc>
          <w:tcPr>
            <w:tcW w:type="dxa" w:w="1227"/>
          </w:tcPr>
          <w:p>
            <w:r/>
            <w:r>
              <w:rPr>
                <w:b w:val="0"/>
                <w:color w:val="1F2328"/>
                <w:sz w:val="18"/>
              </w:rPr>
              <w:t>Complete</w:t>
            </w:r>
          </w:p>
        </w:tc>
      </w:tr>
      <w:tr>
        <w:trPr>
          <w:cantSplit/>
        </w:trPr>
        <w:tc>
          <w:tcPr>
            <w:tcW w:type="dxa" w:w="2214"/>
          </w:tcPr>
          <w:p>
            <w:r/>
            <w:r>
              <w:rPr>
                <w:b w:val="0"/>
                <w:color w:val="1F2328"/>
                <w:sz w:val="18"/>
              </w:rPr>
              <w:t>External penetration-test supplier</w:t>
            </w:r>
          </w:p>
        </w:tc>
        <w:tc>
          <w:tcPr>
            <w:tcW w:type="dxa" w:w="1350"/>
          </w:tcPr>
          <w:p>
            <w:r/>
            <w:r>
              <w:rPr>
                <w:b w:val="0"/>
                <w:color w:val="1F2328"/>
                <w:sz w:val="18"/>
              </w:rPr>
              <w:t>Annual test</w:t>
            </w:r>
          </w:p>
        </w:tc>
        <w:tc>
          <w:tcPr>
            <w:tcW w:type="dxa" w:w="1597"/>
          </w:tcPr>
          <w:p>
            <w:r/>
            <w:r>
              <w:rPr>
                <w:b w:val="0"/>
                <w:color w:val="1F2328"/>
                <w:sz w:val="18"/>
              </w:rPr>
              <w:t>Scoped production findings</w:t>
            </w:r>
          </w:p>
        </w:tc>
        <w:tc>
          <w:tcPr>
            <w:tcW w:type="dxa" w:w="2214"/>
          </w:tcPr>
          <w:p>
            <w:r/>
            <w:r>
              <w:rPr>
                <w:b w:val="0"/>
                <w:color w:val="1F2328"/>
                <w:sz w:val="18"/>
              </w:rPr>
              <w:t>SINV / NDA-PENTEST-2026</w:t>
            </w:r>
          </w:p>
        </w:tc>
        <w:tc>
          <w:tcPr>
            <w:tcW w:type="dxa" w:w="1474"/>
          </w:tcPr>
          <w:p>
            <w:r/>
            <w:r>
              <w:rPr>
                <w:b w:val="0"/>
                <w:color w:val="1F2328"/>
                <w:sz w:val="18"/>
              </w:rPr>
              <w:t>SAS-EV-003</w:t>
            </w:r>
          </w:p>
        </w:tc>
        <w:tc>
          <w:tcPr>
            <w:tcW w:type="dxa" w:w="1227"/>
          </w:tcPr>
          <w:p>
            <w:r/>
            <w:r>
              <w:rPr>
                <w:b w:val="0"/>
                <w:color w:val="1F2328"/>
                <w:sz w:val="18"/>
              </w:rPr>
              <w:t>Complete</w:t>
            </w:r>
          </w:p>
        </w:tc>
      </w:tr>
    </w:tbl>
    <w:p>
      <w:pPr>
        <w:spacing w:before="0" w:after="120"/>
      </w:pPr>
    </w:p>
    <w:p>
      <w:pPr>
        <w:pStyle w:val="974"/>
        <w:outlineLvl w:val="1"/>
      </w:pPr>
      <w:bookmarkStart w:id="21" w:name="_TocRAM018"/>
      <w:r>
        <w:t>Organization and roles</w:t>
      </w:r>
      <w:bookmarkEnd w:id="21"/>
    </w:p>
    <w:p>
      <w:r>
        <w:rPr>
          <w:b w:val="0"/>
        </w:rPr>
        <w:t>Architecture decisions that change residual risk are not a team habit. The Engineering Lead owns Arcfield Platform runtime and CI/CD change. The Security Lead owns detection rules, privileged-access review and this statement. The ISMS Manager freezes Document Control versions and escalates unnamed trust paths. Top Management approves this statement. Appointments themselves are IRAR (ISMS Role Appointment Record) rows that cite this version. If a new data flow can leave the EU region or a new subprocessor can see tenant data, the Security Lead updates this file before the change lands.</w:t>
      </w:r>
    </w:p>
    <w:p>
      <w:pPr>
        <w:pStyle w:val="974"/>
        <w:outlineLvl w:val="1"/>
      </w:pPr>
      <w:bookmarkStart w:id="22" w:name="_TocRAM019"/>
      <w:r>
        <w:t>Controls on this architecture</w:t>
      </w:r>
      <w:bookmarkEnd w:id="22"/>
    </w:p>
    <w:p>
      <w:r>
        <w:rPr>
          <w:b w:val="0"/>
        </w:rPr>
        <w:t>Use this table to find the control and the evidence on the named path. Do not copy SoA (Statement of Applicability) selections into this file; cite the SoA version.</w:t>
      </w:r>
    </w:p>
    <w:tbl>
      <w:tblPr>
        <w:tblStyle w:val="1033"/>
        <w:tblW w:type="dxa" w:w="10080"/>
        <w:jc w:val="left"/>
        <w:tblLayout w:type="fixed"/>
        <w:tblLook w:firstColumn="1" w:firstRow="1" w:lastColumn="0" w:lastRow="0" w:noHBand="0" w:noVBand="1" w:val="04A0"/>
      </w:tblPr>
      <w:tblGrid>
        <w:gridCol w:w="1468"/>
        <w:gridCol w:w="2728"/>
        <w:gridCol w:w="4119"/>
        <w:gridCol w:w="1765"/>
      </w:tblGrid>
      <w:tr>
        <w:trPr>
          <w:tblHeader/>
          <w:cantSplit/>
        </w:trPr>
        <w:tc>
          <w:tcPr>
            <w:tcW w:type="dxa" w:w="1468"/>
            <w:shd w:fill="F7F9FC"/>
          </w:tcPr>
          <w:p>
            <w:r/>
            <w:r>
              <w:rPr>
                <w:b/>
                <w:color w:val="1F6FEB"/>
                <w:sz w:val="18"/>
              </w:rPr>
              <w:t>Control area</w:t>
            </w:r>
          </w:p>
        </w:tc>
        <w:tc>
          <w:tcPr>
            <w:tcW w:type="dxa" w:w="2728"/>
            <w:shd w:fill="F7F9FC"/>
          </w:tcPr>
          <w:p>
            <w:r/>
            <w:r>
              <w:rPr>
                <w:b/>
                <w:color w:val="1F6FEB"/>
                <w:sz w:val="18"/>
              </w:rPr>
              <w:t>Architecture rule</w:t>
            </w:r>
          </w:p>
        </w:tc>
        <w:tc>
          <w:tcPr>
            <w:tcW w:type="dxa" w:w="4119"/>
            <w:shd w:fill="F7F9FC"/>
          </w:tcPr>
          <w:p>
            <w:r/>
            <w:r>
              <w:rPr>
                <w:b/>
                <w:color w:val="1F6FEB"/>
                <w:sz w:val="18"/>
              </w:rPr>
              <w:t>Evidence</w:t>
            </w:r>
          </w:p>
        </w:tc>
        <w:tc>
          <w:tcPr>
            <w:tcW w:type="dxa" w:w="1765"/>
            <w:shd w:fill="F7F9FC"/>
          </w:tcPr>
          <w:p>
            <w:r/>
            <w:r>
              <w:rPr>
                <w:b/>
                <w:color w:val="1F6FEB"/>
                <w:sz w:val="18"/>
              </w:rPr>
              <w:t>Evidence status</w:t>
            </w:r>
          </w:p>
        </w:tc>
      </w:tr>
      <w:tr>
        <w:trPr>
          <w:cantSplit/>
        </w:trPr>
        <w:tc>
          <w:tcPr>
            <w:tcW w:type="dxa" w:w="1468"/>
          </w:tcPr>
          <w:p>
            <w:r/>
            <w:r>
              <w:rPr>
                <w:b w:val="0"/>
                <w:color w:val="1F2328"/>
                <w:sz w:val="18"/>
              </w:rPr>
              <w:t>Access</w:t>
            </w:r>
          </w:p>
        </w:tc>
        <w:tc>
          <w:tcPr>
            <w:tcW w:type="dxa" w:w="2728"/>
          </w:tcPr>
          <w:p>
            <w:r/>
            <w:r>
              <w:rPr>
                <w:b w:val="0"/>
                <w:color w:val="1F2328"/>
                <w:sz w:val="18"/>
              </w:rPr>
              <w:t>Customer users enter through Edge protection and the API gateway; SSO and MFA at the identity provider tenant; privileged access with MFA and no standing production SSH.</w:t>
            </w:r>
          </w:p>
        </w:tc>
        <w:tc>
          <w:tcPr>
            <w:tcW w:type="dxa" w:w="4119"/>
          </w:tcPr>
          <w:p>
            <w:r/>
            <w:r>
              <w:rPr>
                <w:b w:val="0"/>
                <w:color w:val="1F2328"/>
                <w:sz w:val="18"/>
              </w:rPr>
              <w:t>UAI access review; identity-provider MFA export; privileged-access audit logs</w:t>
            </w:r>
          </w:p>
        </w:tc>
        <w:tc>
          <w:tcPr>
            <w:tcW w:type="dxa" w:w="1765"/>
          </w:tcPr>
          <w:p>
            <w:r/>
            <w:r>
              <w:rPr>
                <w:b w:val="0"/>
                <w:color w:val="1F2328"/>
                <w:sz w:val="18"/>
              </w:rPr>
              <w:t>Complete</w:t>
            </w:r>
          </w:p>
        </w:tc>
      </w:tr>
      <w:tr>
        <w:trPr>
          <w:cantSplit/>
        </w:trPr>
        <w:tc>
          <w:tcPr>
            <w:tcW w:type="dxa" w:w="1468"/>
          </w:tcPr>
          <w:p>
            <w:r/>
            <w:r>
              <w:rPr>
                <w:b w:val="0"/>
                <w:color w:val="1F2328"/>
                <w:sz w:val="18"/>
              </w:rPr>
              <w:t>Change</w:t>
            </w:r>
          </w:p>
        </w:tc>
        <w:tc>
          <w:tcPr>
            <w:tcW w:type="dxa" w:w="2728"/>
          </w:tcPr>
          <w:p>
            <w:r/>
            <w:r>
              <w:rPr>
                <w:b w:val="0"/>
                <w:color w:val="1F2328"/>
                <w:sz w:val="18"/>
              </w:rPr>
              <w:t>Production changes only through signed CI/CD, policy check and network policy on the runtime orchestrator.</w:t>
            </w:r>
          </w:p>
        </w:tc>
        <w:tc>
          <w:tcPr>
            <w:tcW w:type="dxa" w:w="4119"/>
          </w:tcPr>
          <w:p>
            <w:r/>
            <w:r>
              <w:rPr>
                <w:b w:val="0"/>
                <w:color w:val="1F2328"/>
                <w:sz w:val="18"/>
              </w:rPr>
              <w:t>Pipeline log; change ticket citing this Document Control version</w:t>
            </w:r>
          </w:p>
        </w:tc>
        <w:tc>
          <w:tcPr>
            <w:tcW w:type="dxa" w:w="1765"/>
          </w:tcPr>
          <w:p>
            <w:r/>
            <w:r>
              <w:rPr>
                <w:b w:val="0"/>
                <w:color w:val="1F2328"/>
                <w:sz w:val="18"/>
              </w:rPr>
              <w:t>Complete</w:t>
            </w:r>
          </w:p>
        </w:tc>
      </w:tr>
      <w:tr>
        <w:trPr>
          <w:cantSplit/>
        </w:trPr>
        <w:tc>
          <w:tcPr>
            <w:tcW w:type="dxa" w:w="1468"/>
          </w:tcPr>
          <w:p>
            <w:r/>
            <w:r>
              <w:rPr>
                <w:b w:val="0"/>
                <w:color w:val="1F2328"/>
                <w:sz w:val="18"/>
              </w:rPr>
              <w:t>Logging</w:t>
            </w:r>
          </w:p>
        </w:tc>
        <w:tc>
          <w:tcPr>
            <w:tcW w:type="dxa" w:w="2728"/>
          </w:tcPr>
          <w:p>
            <w:r/>
            <w:r>
              <w:rPr>
                <w:b w:val="0"/>
                <w:color w:val="1F2328"/>
                <w:sz w:val="18"/>
              </w:rPr>
              <w:t>API gateway access logs, tenant application logs and traces, metrics and privileged-access audit logs land in logging and detection and security-event correlation.</w:t>
            </w:r>
          </w:p>
        </w:tc>
        <w:tc>
          <w:tcPr>
            <w:tcW w:type="dxa" w:w="4119"/>
          </w:tcPr>
          <w:p>
            <w:r/>
            <w:r>
              <w:rPr>
                <w:b w:val="0"/>
                <w:color w:val="1F2328"/>
                <w:sz w:val="18"/>
              </w:rPr>
              <w:t>LMP sample; detection rule export</w:t>
            </w:r>
          </w:p>
        </w:tc>
        <w:tc>
          <w:tcPr>
            <w:tcW w:type="dxa" w:w="1765"/>
          </w:tcPr>
          <w:p>
            <w:r/>
            <w:r>
              <w:rPr>
                <w:b w:val="0"/>
                <w:color w:val="1F2328"/>
                <w:sz w:val="18"/>
              </w:rPr>
              <w:t>Complete</w:t>
            </w:r>
          </w:p>
        </w:tc>
      </w:tr>
      <w:tr>
        <w:trPr>
          <w:cantSplit/>
        </w:trPr>
        <w:tc>
          <w:tcPr>
            <w:tcW w:type="dxa" w:w="1468"/>
          </w:tcPr>
          <w:p>
            <w:r/>
            <w:r>
              <w:rPr>
                <w:b w:val="0"/>
                <w:color w:val="1F2328"/>
                <w:sz w:val="18"/>
              </w:rPr>
              <w:t>Patch</w:t>
            </w:r>
          </w:p>
        </w:tc>
        <w:tc>
          <w:tcPr>
            <w:tcW w:type="dxa" w:w="2728"/>
          </w:tcPr>
          <w:p>
            <w:r/>
            <w:r>
              <w:rPr>
                <w:b w:val="0"/>
                <w:color w:val="1F2328"/>
                <w:sz w:val="18"/>
              </w:rPr>
              <w:t>Runtime images and dependencies on Production platform follow the published patch window.</w:t>
            </w:r>
          </w:p>
        </w:tc>
        <w:tc>
          <w:tcPr>
            <w:tcW w:type="dxa" w:w="4119"/>
          </w:tcPr>
          <w:p>
            <w:r/>
            <w:r>
              <w:rPr>
                <w:b w:val="0"/>
                <w:color w:val="1F2328"/>
                <w:sz w:val="18"/>
              </w:rPr>
              <w:t>Image build log; vulnerability ticket</w:t>
            </w:r>
          </w:p>
        </w:tc>
        <w:tc>
          <w:tcPr>
            <w:tcW w:type="dxa" w:w="1765"/>
          </w:tcPr>
          <w:p>
            <w:r/>
            <w:r>
              <w:rPr>
                <w:b w:val="0"/>
                <w:color w:val="1F2328"/>
                <w:sz w:val="18"/>
              </w:rPr>
              <w:t>Complete</w:t>
            </w:r>
          </w:p>
        </w:tc>
      </w:tr>
      <w:tr>
        <w:trPr>
          <w:cantSplit/>
        </w:trPr>
        <w:tc>
          <w:tcPr>
            <w:tcW w:type="dxa" w:w="1468"/>
          </w:tcPr>
          <w:p>
            <w:r/>
            <w:r>
              <w:rPr>
                <w:b w:val="0"/>
                <w:color w:val="1F2328"/>
                <w:sz w:val="18"/>
              </w:rPr>
              <w:t>Incident</w:t>
            </w:r>
          </w:p>
        </w:tc>
        <w:tc>
          <w:tcPr>
            <w:tcW w:type="dxa" w:w="2728"/>
          </w:tcPr>
          <w:p>
            <w:r/>
            <w:r>
              <w:rPr>
                <w:b w:val="0"/>
                <w:color w:val="1F2328"/>
                <w:sz w:val="18"/>
              </w:rPr>
              <w:t>On-call uses logging and detection, security-event correlation and the IR procedure.</w:t>
            </w:r>
          </w:p>
        </w:tc>
        <w:tc>
          <w:tcPr>
            <w:tcW w:type="dxa" w:w="4119"/>
          </w:tcPr>
          <w:p>
            <w:r/>
            <w:r>
              <w:rPr>
                <w:b w:val="0"/>
                <w:color w:val="1F2328"/>
                <w:sz w:val="18"/>
              </w:rPr>
              <w:t>Incident record; timeline export</w:t>
            </w:r>
          </w:p>
        </w:tc>
        <w:tc>
          <w:tcPr>
            <w:tcW w:type="dxa" w:w="1765"/>
          </w:tcPr>
          <w:p>
            <w:r/>
            <w:r>
              <w:rPr>
                <w:b w:val="0"/>
                <w:color w:val="1F2328"/>
                <w:sz w:val="18"/>
              </w:rPr>
              <w:t>Complete</w:t>
            </w:r>
          </w:p>
        </w:tc>
      </w:tr>
      <w:tr>
        <w:trPr>
          <w:cantSplit/>
        </w:trPr>
        <w:tc>
          <w:tcPr>
            <w:tcW w:type="dxa" w:w="1468"/>
          </w:tcPr>
          <w:p>
            <w:r/>
            <w:r>
              <w:rPr>
                <w:b w:val="0"/>
                <w:color w:val="1F2328"/>
                <w:sz w:val="18"/>
              </w:rPr>
              <w:t>BCM</w:t>
            </w:r>
          </w:p>
        </w:tc>
        <w:tc>
          <w:tcPr>
            <w:tcW w:type="dxa" w:w="2728"/>
          </w:tcPr>
          <w:p>
            <w:r/>
            <w:r>
              <w:rPr>
                <w:b w:val="0"/>
                <w:color w:val="1F2328"/>
                <w:sz w:val="18"/>
              </w:rPr>
              <w:t>Encrypted backups in-region on Backup and restore; restore tested onto Production platform.</w:t>
            </w:r>
          </w:p>
        </w:tc>
        <w:tc>
          <w:tcPr>
            <w:tcW w:type="dxa" w:w="4119"/>
          </w:tcPr>
          <w:p>
            <w:r/>
            <w:r>
              <w:rPr>
                <w:b w:val="0"/>
                <w:color w:val="1F2328"/>
                <w:sz w:val="18"/>
              </w:rPr>
              <w:t>Restore-test record; backup job log</w:t>
            </w:r>
          </w:p>
        </w:tc>
        <w:tc>
          <w:tcPr>
            <w:tcW w:type="dxa" w:w="1765"/>
          </w:tcPr>
          <w:p>
            <w:r/>
            <w:r>
              <w:rPr>
                <w:b w:val="0"/>
                <w:color w:val="1F2328"/>
                <w:sz w:val="18"/>
              </w:rPr>
              <w:t>Complete</w:t>
            </w:r>
          </w:p>
        </w:tc>
      </w:tr>
      <w:tr>
        <w:trPr>
          <w:cantSplit/>
        </w:trPr>
        <w:tc>
          <w:tcPr>
            <w:tcW w:type="dxa" w:w="1468"/>
          </w:tcPr>
          <w:p>
            <w:r/>
            <w:r>
              <w:rPr>
                <w:b w:val="0"/>
                <w:color w:val="1F2328"/>
                <w:sz w:val="18"/>
              </w:rPr>
              <w:t>Privacy</w:t>
            </w:r>
          </w:p>
        </w:tc>
        <w:tc>
          <w:tcPr>
            <w:tcW w:type="dxa" w:w="2728"/>
          </w:tcPr>
          <w:p>
            <w:r/>
            <w:r>
              <w:rPr>
                <w:b w:val="0"/>
                <w:color w:val="1F2328"/>
                <w:sz w:val="18"/>
              </w:rPr>
              <w:t>New pipelines that leave a tenant data store trigger DPIA and a row in this statement.</w:t>
            </w:r>
          </w:p>
        </w:tc>
        <w:tc>
          <w:tcPr>
            <w:tcW w:type="dxa" w:w="4119"/>
          </w:tcPr>
          <w:p>
            <w:r/>
            <w:r>
              <w:rPr>
                <w:b w:val="0"/>
                <w:color w:val="1F2328"/>
                <w:sz w:val="18"/>
              </w:rPr>
              <w:t>DPIA; DPA; this table's next version</w:t>
            </w:r>
          </w:p>
        </w:tc>
        <w:tc>
          <w:tcPr>
            <w:tcW w:type="dxa" w:w="1765"/>
          </w:tcPr>
          <w:p>
            <w:r/>
            <w:r>
              <w:rPr>
                <w:b w:val="0"/>
                <w:color w:val="1F2328"/>
                <w:sz w:val="18"/>
              </w:rPr>
              <w:t>Complete</w:t>
            </w:r>
          </w:p>
        </w:tc>
      </w:tr>
    </w:tbl>
    <w:p>
      <w:pPr>
        <w:spacing w:before="0" w:after="120"/>
      </w:pPr>
    </w:p>
    <w:p>
      <w:pPr>
        <w:pStyle w:val="974"/>
        <w:outlineLvl w:val="1"/>
      </w:pPr>
      <w:bookmarkStart w:id="23" w:name="_TocRAM020"/>
      <w:r>
        <w:t>Evidence index</w:t>
      </w:r>
      <w:bookmarkEnd w:id="23"/>
    </w:p>
    <w:p>
      <w:r>
        <w:rPr>
          <w:b w:val="0"/>
        </w:rPr>
        <w:t>Keep one exportable record per row. A chat message is not evidence. Cite this Document Control version from each record.</w:t>
      </w:r>
    </w:p>
    <w:tbl>
      <w:tblPr>
        <w:tblStyle w:val="1033"/>
        <w:tblW w:type="dxa" w:w="10077"/>
        <w:jc w:val="left"/>
        <w:tblLayout w:type="fixed"/>
        <w:tblLook w:firstColumn="1" w:firstRow="1" w:lastColumn="0" w:lastRow="0" w:noHBand="0" w:noVBand="1" w:val="04A0"/>
      </w:tblPr>
      <w:tblGrid>
        <w:gridCol w:w="1702"/>
        <w:gridCol w:w="3127"/>
        <w:gridCol w:w="1844"/>
        <w:gridCol w:w="1702"/>
        <w:gridCol w:w="1702"/>
      </w:tblGrid>
      <w:tr>
        <w:trPr>
          <w:tblHeader/>
          <w:cantSplit/>
        </w:trPr>
        <w:tc>
          <w:tcPr>
            <w:tcW w:type="dxa" w:w="1702"/>
            <w:shd w:fill="F7F9FC"/>
          </w:tcPr>
          <w:p>
            <w:r/>
            <w:r>
              <w:rPr>
                <w:b/>
                <w:color w:val="1F6FEB"/>
                <w:sz w:val="18"/>
              </w:rPr>
              <w:t>Evidence ID</w:t>
            </w:r>
          </w:p>
        </w:tc>
        <w:tc>
          <w:tcPr>
            <w:tcW w:type="dxa" w:w="3127"/>
            <w:shd w:fill="F7F9FC"/>
          </w:tcPr>
          <w:p>
            <w:r/>
            <w:r>
              <w:rPr>
                <w:b/>
                <w:color w:val="1F6FEB"/>
                <w:sz w:val="18"/>
              </w:rPr>
              <w:t>Record</w:t>
            </w:r>
          </w:p>
        </w:tc>
        <w:tc>
          <w:tcPr>
            <w:tcW w:type="dxa" w:w="1844"/>
            <w:shd w:fill="F7F9FC"/>
          </w:tcPr>
          <w:p>
            <w:r/>
            <w:r>
              <w:rPr>
                <w:b/>
                <w:color w:val="1F6FEB"/>
                <w:sz w:val="18"/>
              </w:rPr>
              <w:t>Owner</w:t>
            </w:r>
          </w:p>
        </w:tc>
        <w:tc>
          <w:tcPr>
            <w:tcW w:type="dxa" w:w="1702"/>
            <w:shd w:fill="F7F9FC"/>
          </w:tcPr>
          <w:p>
            <w:r/>
            <w:r>
              <w:rPr>
                <w:b/>
                <w:color w:val="1F6FEB"/>
                <w:sz w:val="18"/>
              </w:rPr>
              <w:t>System</w:t>
            </w:r>
          </w:p>
        </w:tc>
        <w:tc>
          <w:tcPr>
            <w:tcW w:type="dxa" w:w="1702"/>
            <w:shd w:fill="F7F9FC"/>
          </w:tcPr>
          <w:p>
            <w:r/>
            <w:r>
              <w:rPr>
                <w:b/>
                <w:color w:val="1F6FEB"/>
                <w:sz w:val="18"/>
              </w:rPr>
              <w:t>Evidence reference</w:t>
            </w:r>
          </w:p>
        </w:tc>
      </w:tr>
      <w:tr>
        <w:trPr>
          <w:cantSplit/>
        </w:trPr>
        <w:tc>
          <w:tcPr>
            <w:tcW w:type="dxa" w:w="1702"/>
          </w:tcPr>
          <w:p>
            <w:r/>
            <w:r>
              <w:rPr>
                <w:b w:val="0"/>
                <w:color w:val="1F2328"/>
                <w:sz w:val="18"/>
              </w:rPr>
              <w:t>SAS-EV-001</w:t>
            </w:r>
          </w:p>
        </w:tc>
        <w:tc>
          <w:tcPr>
            <w:tcW w:type="dxa" w:w="3127"/>
          </w:tcPr>
          <w:p>
            <w:r/>
            <w:r>
              <w:rPr>
                <w:b w:val="0"/>
                <w:color w:val="1F2328"/>
                <w:sz w:val="18"/>
              </w:rPr>
              <w:t>Architecture diagram (trust boundaries, tenant isolation and restore path)</w:t>
            </w:r>
          </w:p>
        </w:tc>
        <w:tc>
          <w:tcPr>
            <w:tcW w:type="dxa" w:w="1844"/>
          </w:tcPr>
          <w:p>
            <w:r/>
            <w:r>
              <w:rPr>
                <w:b w:val="0"/>
                <w:color w:val="1F2328"/>
                <w:sz w:val="18"/>
              </w:rPr>
              <w:t>Engineering Lead</w:t>
            </w:r>
          </w:p>
        </w:tc>
        <w:tc>
          <w:tcPr>
            <w:tcW w:type="dxa" w:w="1702"/>
          </w:tcPr>
          <w:p>
            <w:r/>
            <w:r>
              <w:rPr>
                <w:b w:val="0"/>
                <w:color w:val="1F2328"/>
                <w:sz w:val="18"/>
              </w:rPr>
              <w:t>ISMS evidence repository</w:t>
            </w:r>
          </w:p>
        </w:tc>
        <w:tc>
          <w:tcPr>
            <w:tcW w:type="dxa" w:w="1702"/>
          </w:tcPr>
          <w:p>
            <w:r/>
            <w:r>
              <w:rPr>
                <w:b w:val="0"/>
                <w:color w:val="1F2328"/>
                <w:sz w:val="18"/>
              </w:rPr>
              <w:t>SAS-EV-001</w:t>
            </w:r>
          </w:p>
        </w:tc>
      </w:tr>
      <w:tr>
        <w:trPr>
          <w:cantSplit/>
        </w:trPr>
        <w:tc>
          <w:tcPr>
            <w:tcW w:type="dxa" w:w="1702"/>
          </w:tcPr>
          <w:p>
            <w:r/>
            <w:r>
              <w:rPr>
                <w:b w:val="0"/>
                <w:color w:val="1F2328"/>
                <w:sz w:val="18"/>
              </w:rPr>
              <w:t>SAS-EV-002</w:t>
            </w:r>
          </w:p>
        </w:tc>
        <w:tc>
          <w:tcPr>
            <w:tcW w:type="dxa" w:w="3127"/>
          </w:tcPr>
          <w:p>
            <w:r/>
            <w:r>
              <w:rPr>
                <w:b w:val="0"/>
                <w:color w:val="1F2328"/>
                <w:sz w:val="18"/>
              </w:rPr>
              <w:t>Shared-responsibility matrix</w:t>
            </w:r>
          </w:p>
        </w:tc>
        <w:tc>
          <w:tcPr>
            <w:tcW w:type="dxa" w:w="1844"/>
          </w:tcPr>
          <w:p>
            <w:r/>
            <w:r>
              <w:rPr>
                <w:b w:val="0"/>
                <w:color w:val="1F2328"/>
                <w:sz w:val="18"/>
              </w:rPr>
              <w:t>Security Lead</w:t>
            </w:r>
          </w:p>
        </w:tc>
        <w:tc>
          <w:tcPr>
            <w:tcW w:type="dxa" w:w="1702"/>
          </w:tcPr>
          <w:p>
            <w:r/>
            <w:r>
              <w:rPr>
                <w:b w:val="0"/>
                <w:color w:val="1F2328"/>
                <w:sz w:val="18"/>
              </w:rPr>
              <w:t>This file plus SINV</w:t>
            </w:r>
          </w:p>
        </w:tc>
        <w:tc>
          <w:tcPr>
            <w:tcW w:type="dxa" w:w="1702"/>
          </w:tcPr>
          <w:p>
            <w:r/>
            <w:r>
              <w:rPr>
                <w:b w:val="0"/>
                <w:color w:val="1F2328"/>
                <w:sz w:val="18"/>
              </w:rPr>
              <w:t>SAS-EV-002</w:t>
            </w:r>
          </w:p>
        </w:tc>
      </w:tr>
      <w:tr>
        <w:trPr>
          <w:cantSplit/>
        </w:trPr>
        <w:tc>
          <w:tcPr>
            <w:tcW w:type="dxa" w:w="1702"/>
          </w:tcPr>
          <w:p>
            <w:r/>
            <w:r>
              <w:rPr>
                <w:b w:val="0"/>
                <w:color w:val="1F2328"/>
                <w:sz w:val="18"/>
              </w:rPr>
              <w:t>SAS-EV-003</w:t>
            </w:r>
          </w:p>
        </w:tc>
        <w:tc>
          <w:tcPr>
            <w:tcW w:type="dxa" w:w="3127"/>
          </w:tcPr>
          <w:p>
            <w:r/>
            <w:r>
              <w:rPr>
                <w:b w:val="0"/>
                <w:color w:val="1F2328"/>
                <w:sz w:val="18"/>
              </w:rPr>
              <w:t>Subprocessor and DPA list</w:t>
            </w:r>
          </w:p>
        </w:tc>
        <w:tc>
          <w:tcPr>
            <w:tcW w:type="dxa" w:w="1844"/>
          </w:tcPr>
          <w:p>
            <w:r/>
            <w:r>
              <w:rPr>
                <w:b w:val="0"/>
                <w:color w:val="1F2328"/>
                <w:sz w:val="18"/>
              </w:rPr>
              <w:t>Supplier Manager</w:t>
            </w:r>
          </w:p>
        </w:tc>
        <w:tc>
          <w:tcPr>
            <w:tcW w:type="dxa" w:w="1702"/>
          </w:tcPr>
          <w:p>
            <w:r/>
            <w:r>
              <w:rPr>
                <w:b w:val="0"/>
                <w:color w:val="1F2328"/>
                <w:sz w:val="18"/>
              </w:rPr>
              <w:t>SINV</w:t>
            </w:r>
          </w:p>
        </w:tc>
        <w:tc>
          <w:tcPr>
            <w:tcW w:type="dxa" w:w="1702"/>
          </w:tcPr>
          <w:p>
            <w:r/>
            <w:r>
              <w:rPr>
                <w:b w:val="0"/>
                <w:color w:val="1F2328"/>
                <w:sz w:val="18"/>
              </w:rPr>
              <w:t>SAS-EV-003</w:t>
            </w:r>
          </w:p>
        </w:tc>
      </w:tr>
      <w:tr>
        <w:trPr>
          <w:cantSplit/>
        </w:trPr>
        <w:tc>
          <w:tcPr>
            <w:tcW w:type="dxa" w:w="1702"/>
          </w:tcPr>
          <w:p>
            <w:r/>
            <w:r>
              <w:rPr>
                <w:b w:val="0"/>
                <w:color w:val="1F2328"/>
                <w:sz w:val="18"/>
              </w:rPr>
              <w:t>SAS-EV-004</w:t>
            </w:r>
          </w:p>
        </w:tc>
        <w:tc>
          <w:tcPr>
            <w:tcW w:type="dxa" w:w="3127"/>
          </w:tcPr>
          <w:p>
            <w:r/>
            <w:r>
              <w:rPr>
                <w:b w:val="0"/>
                <w:color w:val="1F2328"/>
                <w:sz w:val="18"/>
              </w:rPr>
              <w:t>Access review for production and support roles</w:t>
            </w:r>
          </w:p>
        </w:tc>
        <w:tc>
          <w:tcPr>
            <w:tcW w:type="dxa" w:w="1844"/>
          </w:tcPr>
          <w:p>
            <w:r/>
            <w:r>
              <w:rPr>
                <w:b w:val="0"/>
                <w:color w:val="1F2328"/>
                <w:sz w:val="18"/>
              </w:rPr>
              <w:t>Security Lead</w:t>
            </w:r>
          </w:p>
        </w:tc>
        <w:tc>
          <w:tcPr>
            <w:tcW w:type="dxa" w:w="1702"/>
          </w:tcPr>
          <w:p>
            <w:r/>
            <w:r>
              <w:rPr>
                <w:b w:val="0"/>
                <w:color w:val="1F2328"/>
                <w:sz w:val="18"/>
              </w:rPr>
              <w:t>Privileged access / UAI</w:t>
            </w:r>
          </w:p>
        </w:tc>
        <w:tc>
          <w:tcPr>
            <w:tcW w:type="dxa" w:w="1702"/>
          </w:tcPr>
          <w:p>
            <w:r/>
            <w:r>
              <w:rPr>
                <w:b w:val="0"/>
                <w:color w:val="1F2328"/>
                <w:sz w:val="18"/>
              </w:rPr>
              <w:t>SAS-EV-004</w:t>
            </w:r>
          </w:p>
        </w:tc>
      </w:tr>
      <w:tr>
        <w:trPr>
          <w:cantSplit/>
        </w:trPr>
        <w:tc>
          <w:tcPr>
            <w:tcW w:type="dxa" w:w="1702"/>
          </w:tcPr>
          <w:p>
            <w:r/>
            <w:r>
              <w:rPr>
                <w:b w:val="0"/>
                <w:color w:val="1F2328"/>
                <w:sz w:val="18"/>
              </w:rPr>
              <w:t>SAS-EV-005</w:t>
            </w:r>
          </w:p>
        </w:tc>
        <w:tc>
          <w:tcPr>
            <w:tcW w:type="dxa" w:w="3127"/>
          </w:tcPr>
          <w:p>
            <w:r/>
            <w:r>
              <w:rPr>
                <w:b w:val="0"/>
                <w:color w:val="1F2328"/>
                <w:sz w:val="18"/>
              </w:rPr>
              <w:t>CI/CD protected-branch and signing policy</w:t>
            </w:r>
          </w:p>
        </w:tc>
        <w:tc>
          <w:tcPr>
            <w:tcW w:type="dxa" w:w="1844"/>
          </w:tcPr>
          <w:p>
            <w:r/>
            <w:r>
              <w:rPr>
                <w:b w:val="0"/>
                <w:color w:val="1F2328"/>
                <w:sz w:val="18"/>
              </w:rPr>
              <w:t>Engineering Lead</w:t>
            </w:r>
          </w:p>
        </w:tc>
        <w:tc>
          <w:tcPr>
            <w:tcW w:type="dxa" w:w="1702"/>
          </w:tcPr>
          <w:p>
            <w:r/>
            <w:r>
              <w:rPr>
                <w:b w:val="0"/>
                <w:color w:val="1F2328"/>
                <w:sz w:val="18"/>
              </w:rPr>
              <w:t>CI/CD</w:t>
            </w:r>
          </w:p>
        </w:tc>
        <w:tc>
          <w:tcPr>
            <w:tcW w:type="dxa" w:w="1702"/>
          </w:tcPr>
          <w:p>
            <w:r/>
            <w:r>
              <w:rPr>
                <w:b w:val="0"/>
                <w:color w:val="1F2328"/>
                <w:sz w:val="18"/>
              </w:rPr>
              <w:t>SAS-EV-005</w:t>
            </w:r>
          </w:p>
        </w:tc>
      </w:tr>
      <w:tr>
        <w:trPr>
          <w:cantSplit/>
        </w:trPr>
        <w:tc>
          <w:tcPr>
            <w:tcW w:type="dxa" w:w="1702"/>
          </w:tcPr>
          <w:p>
            <w:r/>
            <w:r>
              <w:rPr>
                <w:b w:val="0"/>
                <w:color w:val="1F2328"/>
                <w:sz w:val="18"/>
              </w:rPr>
              <w:t>SAS-EV-006</w:t>
            </w:r>
          </w:p>
        </w:tc>
        <w:tc>
          <w:tcPr>
            <w:tcW w:type="dxa" w:w="3127"/>
          </w:tcPr>
          <w:p>
            <w:r/>
            <w:r>
              <w:rPr>
                <w:b w:val="0"/>
                <w:color w:val="1F2328"/>
                <w:sz w:val="18"/>
              </w:rPr>
              <w:t>Backup restore test</w:t>
            </w:r>
          </w:p>
        </w:tc>
        <w:tc>
          <w:tcPr>
            <w:tcW w:type="dxa" w:w="1844"/>
          </w:tcPr>
          <w:p>
            <w:r/>
            <w:r>
              <w:rPr>
                <w:b w:val="0"/>
                <w:color w:val="1F2328"/>
                <w:sz w:val="18"/>
              </w:rPr>
              <w:t>Engineering Lead</w:t>
            </w:r>
          </w:p>
        </w:tc>
        <w:tc>
          <w:tcPr>
            <w:tcW w:type="dxa" w:w="1702"/>
          </w:tcPr>
          <w:p>
            <w:r/>
            <w:r>
              <w:rPr>
                <w:b w:val="0"/>
                <w:color w:val="1F2328"/>
                <w:sz w:val="18"/>
              </w:rPr>
              <w:t>Backup and restore</w:t>
            </w:r>
          </w:p>
        </w:tc>
        <w:tc>
          <w:tcPr>
            <w:tcW w:type="dxa" w:w="1702"/>
          </w:tcPr>
          <w:p>
            <w:r/>
            <w:r>
              <w:rPr>
                <w:b w:val="0"/>
                <w:color w:val="1F2328"/>
                <w:sz w:val="18"/>
              </w:rPr>
              <w:t>SAS-EV-006</w:t>
            </w:r>
          </w:p>
        </w:tc>
      </w:tr>
      <w:tr>
        <w:trPr>
          <w:cantSplit/>
        </w:trPr>
        <w:tc>
          <w:tcPr>
            <w:tcW w:type="dxa" w:w="1702"/>
          </w:tcPr>
          <w:p>
            <w:r/>
            <w:r>
              <w:rPr>
                <w:b w:val="0"/>
                <w:color w:val="1F2328"/>
                <w:sz w:val="18"/>
              </w:rPr>
              <w:t>SAS-EV-007</w:t>
            </w:r>
          </w:p>
        </w:tc>
        <w:tc>
          <w:tcPr>
            <w:tcW w:type="dxa" w:w="3127"/>
          </w:tcPr>
          <w:p>
            <w:r/>
            <w:r>
              <w:rPr>
                <w:b w:val="0"/>
                <w:color w:val="1F2328"/>
                <w:sz w:val="18"/>
              </w:rPr>
              <w:t>CUEC process, template and completeness check</w:t>
            </w:r>
          </w:p>
        </w:tc>
        <w:tc>
          <w:tcPr>
            <w:tcW w:type="dxa" w:w="1844"/>
          </w:tcPr>
          <w:p>
            <w:r/>
            <w:r>
              <w:rPr>
                <w:b w:val="0"/>
                <w:color w:val="1F2328"/>
                <w:sz w:val="18"/>
              </w:rPr>
              <w:t>Security Lead</w:t>
            </w:r>
          </w:p>
        </w:tc>
        <w:tc>
          <w:tcPr>
            <w:tcW w:type="dxa" w:w="1702"/>
          </w:tcPr>
          <w:p>
            <w:r/>
            <w:r>
              <w:rPr>
                <w:b w:val="0"/>
                <w:color w:val="1F2328"/>
                <w:sz w:val="18"/>
              </w:rPr>
              <w:t>This file plus ISMS evidence repository pointer</w:t>
            </w:r>
          </w:p>
        </w:tc>
        <w:tc>
          <w:tcPr>
            <w:tcW w:type="dxa" w:w="1702"/>
          </w:tcPr>
          <w:p>
            <w:r/>
            <w:r>
              <w:rPr>
                <w:b w:val="0"/>
                <w:color w:val="1F2328"/>
                <w:sz w:val="18"/>
              </w:rPr>
              <w:t>SAS-EV-007</w:t>
            </w:r>
          </w:p>
        </w:tc>
      </w:tr>
    </w:tbl>
    <w:p>
      <w:pPr>
        <w:spacing w:before="0" w:after="120"/>
      </w:pPr>
    </w:p>
    <w:p>
      <w:pPr>
        <w:pStyle w:val="973"/>
        <w:outlineLvl w:val="0"/>
      </w:pPr>
      <w:bookmarkStart w:id="24" w:name="_TocRAM021"/>
      <w:bookmarkStart w:id="2" w:name="ref_evidence_and_records"/>
      <w:r>
        <w:t>Evidence and records</w:t>
      </w:r>
      <w:bookmarkEnd w:id="2"/>
      <w:bookmarkEnd w:id="24"/>
    </w:p>
    <w:p>
      <w:r>
        <w:rPr>
          <w:b w:val="0"/>
        </w:rPr>
        <w:t>Related records live in the companion documents named below. This file cites them by their approved version. It does not copy their content. The Owner named on the cover is accountable for those live records.</w:t>
      </w:r>
    </w:p>
    <w:p>
      <w:pPr>
        <w:pStyle w:val="1006"/>
        <w:ind w:left="360" w:hanging="259"/>
        <w:numPr>
          <w:ilvl w:val="0"/>
          <w:numId w:val="11"/>
        </w:numPr>
      </w:pPr>
      <w:hyperlink r:id="rId17" w:history="1">
        <w:r>
          <w:rPr>
            <w:color w:val="0563C1"/>
            <w:u w:val="single"/>
          </w:rPr>
          <w:t xml:space="preserve">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1"/>
        </w:numPr>
      </w:pPr>
      <w:hyperlink r:id="rId18" w:history="1">
        <w:r>
          <w:rPr>
            <w:color w:val="0563C1"/>
            <w:u w:val="single"/>
          </w:rPr>
          <w:t xml:space="preserve">Document Register</w:t>
        </w:r>
      </w:hyperlink>
      <w:r>
        <w:rPr>
          <w:b w:val="0"/>
        </w:rPr>
        <w:t xml:space="preserve"> — Controlled documented information: origin, owner, approver, version, review cycle, retention and location.</w:t>
      </w:r>
    </w:p>
    <w:p>
      <w:pPr>
        <w:pStyle w:val="1006"/>
        <w:ind w:left="360" w:hanging="259"/>
        <w:numPr>
          <w:ilvl w:val="0"/>
          <w:numId w:val="11"/>
        </w:numPr>
      </w:pPr>
      <w:hyperlink r:id="rId19" w:history="1">
        <w:r>
          <w:rPr>
            <w:color w:val="0563C1"/>
            <w:u w:val="single"/>
          </w:rPr>
          <w:t xml:space="preserve">Records Retention Schedule</w:t>
        </w:r>
      </w:hyperlink>
      <w:r>
        <w:rPr>
          <w:b w:val="0"/>
        </w:rPr>
        <w:t xml:space="preserve"> — Retention rules for ISMS, security, privacy, audit and operational records, with owner, period, disposal method and evidence.</w:t>
      </w:r>
    </w:p>
    <w:p>
      <w:pPr>
        <w:pStyle w:val="973"/>
        <w:outlineLvl w:val="0"/>
      </w:pPr>
      <w:bookmarkStart w:id="25" w:name="_TocRAM022"/>
      <w:bookmarkStart w:id="3" w:name="ref_external_references"/>
      <w:r>
        <w:t>References</w:t>
      </w:r>
      <w:bookmarkEnd w:id="3"/>
      <w:bookmarkEnd w:id="25"/>
    </w:p>
    <w:p>
      <w:pPr>
        <w:pStyle w:val="974"/>
        <w:outlineLvl w:val="1"/>
      </w:pPr>
      <w:bookmarkStart w:id="26" w:name="_TocRAM023"/>
      <w:r>
        <w:t>Linked documents</w:t>
      </w:r>
      <w:bookmarkEnd w:id="26"/>
    </w:p>
    <w:p>
      <w:r>
        <w:rPr>
          <w:b w:val="0"/>
        </w:rPr>
        <w:t>These companion files sit next to this document in the unpacked package. This file cites them by their approved version. It does not copy their content.</w:t>
      </w:r>
    </w:p>
    <w:p>
      <w:pPr>
        <w:pStyle w:val="1006"/>
        <w:ind w:left="360" w:hanging="259"/>
        <w:numPr>
          <w:ilvl w:val="0"/>
          <w:numId w:val="12"/>
        </w:numPr>
      </w:pPr>
      <w:hyperlink r:id="rId20" w:history="1">
        <w:r>
          <w:rPr>
            <w:color w:val="0563C1"/>
            <w:u w:val="single"/>
          </w:rPr>
          <w:t xml:space="preserve">AI Asset Inventory</w:t>
        </w:r>
      </w:hyperlink>
      <w:r>
        <w:rPr>
          <w:b w:val="0"/>
        </w:rPr>
        <w:t xml:space="preserve"> — In-scope systems named here are Asset Inventory rows. Do not keep a second inventory.</w:t>
      </w:r>
    </w:p>
    <w:p>
      <w:pPr>
        <w:pStyle w:val="1006"/>
        <w:ind w:left="360" w:hanging="259"/>
        <w:numPr>
          <w:ilvl w:val="0"/>
          <w:numId w:val="12"/>
        </w:numPr>
      </w:pPr>
      <w:hyperlink r:id="rId17" w:history="1">
        <w:r>
          <w:rPr>
            <w:color w:val="0563C1"/>
            <w:u w:val="single"/>
          </w:rPr>
          <w:t xml:space="preserve">MDR Mandatory Documents and Records Register</w:t>
        </w:r>
      </w:hyperlink>
      <w:r>
        <w:rPr>
          <w:b w:val="0"/>
        </w:rPr>
        <w:t xml:space="preserve"> — The 27 mandatory ISO 27001 documents and records, with owner, required status, approval, review cadence, location and evidence readiness.</w:t>
      </w:r>
    </w:p>
    <w:p>
      <w:pPr>
        <w:pStyle w:val="1006"/>
        <w:ind w:left="360" w:hanging="259"/>
        <w:numPr>
          <w:ilvl w:val="0"/>
          <w:numId w:val="12"/>
        </w:numPr>
      </w:pPr>
      <w:hyperlink r:id="rId18" w:history="1">
        <w:r>
          <w:rPr>
            <w:color w:val="0563C1"/>
            <w:u w:val="single"/>
          </w:rPr>
          <w:t xml:space="preserve">DR Document Register</w:t>
        </w:r>
      </w:hyperlink>
      <w:r>
        <w:rPr>
          <w:b w:val="0"/>
        </w:rPr>
        <w:t xml:space="preserve"> — Controlled documented information: origin, owner, approver, version, review cycle, retention and location.</w:t>
      </w:r>
    </w:p>
    <w:p>
      <w:pPr>
        <w:pStyle w:val="1006"/>
        <w:ind w:left="360" w:hanging="259"/>
        <w:numPr>
          <w:ilvl w:val="0"/>
          <w:numId w:val="12"/>
        </w:numPr>
      </w:pPr>
      <w:hyperlink r:id="rId19" w:history="1">
        <w:r>
          <w:rPr>
            <w:color w:val="0563C1"/>
            <w:u w:val="single"/>
          </w:rPr>
          <w:t xml:space="preserve">RRS Records Retention Schedule</w:t>
        </w:r>
      </w:hyperlink>
      <w:r>
        <w:rPr>
          <w:b w:val="0"/>
        </w:rPr>
        <w:t xml:space="preserve"> — Retention rules for ISMS, security, privacy, audit and operational records, with owner, period, disposal method and evidence.</w:t>
      </w:r>
    </w:p>
    <w:p>
      <w:pPr>
        <w:pStyle w:val="1006"/>
        <w:ind w:left="360" w:hanging="259"/>
        <w:numPr>
          <w:ilvl w:val="0"/>
          <w:numId w:val="12"/>
        </w:numPr>
      </w:pPr>
      <w:hyperlink r:id="rId21" w:history="1">
        <w:r>
          <w:rPr>
            <w:color w:val="0563C1"/>
            <w:u w:val="single"/>
          </w:rPr>
          <w:t xml:space="preserve">DPIA Data Protection Impact Assessment (Dual Compliance, ISO 27001 &amp; EU Data Act)</w:t>
        </w:r>
      </w:hyperlink>
      <w:r>
        <w:rPr>
          <w:b w:val="0"/>
        </w:rPr>
        <w:t xml:space="preserve"> — Interface record. Cite this Document Control version; do not copy this file into that record.</w:t>
      </w:r>
    </w:p>
    <w:p>
      <w:pPr>
        <w:pStyle w:val="1006"/>
        <w:ind w:left="360" w:hanging="259"/>
        <w:numPr>
          <w:ilvl w:val="0"/>
          <w:numId w:val="12"/>
        </w:numPr>
      </w:pPr>
      <w:hyperlink r:id="rId22" w:history="1">
        <w:r>
          <w:rPr>
            <w:color w:val="0563C1"/>
            <w:u w:val="single"/>
          </w:rPr>
          <w:t xml:space="preserve">UAI Users and Access Inventory (Secure Engineering, Access Control &amp; Identity Management)</w:t>
        </w:r>
      </w:hyperlink>
      <w:r>
        <w:rPr>
          <w:b w:val="0"/>
        </w:rPr>
        <w:t xml:space="preserve"> — Interface record. Cite this Document Control version; do not copy this file into that record.</w:t>
      </w:r>
    </w:p>
    <w:p>
      <w:pPr>
        <w:pStyle w:val="1006"/>
        <w:ind w:left="360" w:hanging="259"/>
        <w:numPr>
          <w:ilvl w:val="0"/>
          <w:numId w:val="12"/>
        </w:numPr>
      </w:pPr>
      <w:hyperlink r:id="rId23" w:history="1">
        <w:r>
          <w:rPr>
            <w:color w:val="0563C1"/>
            <w:u w:val="single"/>
          </w:rPr>
          <w:t xml:space="preserve">CR Context Register (Building the ISMS, Context of the Organization (Clause 4))</w:t>
        </w:r>
      </w:hyperlink>
      <w:r>
        <w:rPr>
          <w:b w:val="0"/>
        </w:rPr>
        <w:t xml:space="preserve"> — Interface record. Cite this Document Control version; do not copy this file into that record.</w:t>
      </w:r>
    </w:p>
    <w:p>
      <w:pPr>
        <w:pStyle w:val="1006"/>
        <w:ind w:left="360" w:hanging="259"/>
        <w:numPr>
          <w:ilvl w:val="0"/>
          <w:numId w:val="12"/>
        </w:numPr>
      </w:pPr>
      <w:hyperlink r:id="rId24" w:history="1">
        <w:r>
          <w:rPr>
            <w:color w:val="0563C1"/>
            <w:u w:val="single"/>
          </w:rPr>
          <w:t xml:space="preserve">CSRM Cloud Shared Responsibility Matrix (Secure Operations, Cloud Security Posture Management (CSPM))</w:t>
        </w:r>
      </w:hyperlink>
      <w:r>
        <w:rPr>
          <w:b w:val="0"/>
        </w:rPr>
        <w:t xml:space="preserve"> — Interface record. Cite this Document Control version; do not copy this file into that record.</w:t>
      </w:r>
    </w:p>
    <w:p>
      <w:pPr>
        <w:pStyle w:val="974"/>
        <w:outlineLvl w:val="1"/>
      </w:pPr>
      <w:bookmarkStart w:id="27" w:name="_TocRAM024"/>
      <w:r>
        <w:t>External references</w:t>
      </w:r>
      <w:bookmarkEnd w:id="27"/>
    </w:p>
    <w:p>
      <w:r>
        <w:rPr>
          <w:b w:val="0"/>
        </w:rPr>
        <w:t>Cite these ISO clauses and book chapters from workshops and audits.</w:t>
      </w:r>
    </w:p>
    <w:p>
      <w:pPr>
        <w:pStyle w:val="1006"/>
        <w:ind w:left="360" w:hanging="259"/>
        <w:numPr>
          <w:ilvl w:val="0"/>
          <w:numId w:val="13"/>
        </w:numPr>
      </w:pPr>
      <w:hyperlink r:id="rId25" w:history="1">
        <w:r>
          <w:rPr>
            <w:color w:val="0563C1"/>
            <w:u w:val="single"/>
          </w:rPr>
          <w:t xml:space="preserve">ISO/IEC 27001:2022</w:t>
        </w:r>
      </w:hyperlink>
      <w:r>
        <w:rPr>
          <w:b w:val="0"/>
        </w:rPr>
        <w:t xml:space="preserve"> — Normative ISMS requirements this companion artifact supports.</w:t>
      </w:r>
    </w:p>
    <w:p>
      <w:pPr>
        <w:pStyle w:val="1006"/>
        <w:ind w:left="360" w:hanging="259"/>
        <w:numPr>
          <w:ilvl w:val="0"/>
          <w:numId w:val="13"/>
        </w:numPr>
      </w:pPr>
      <w:hyperlink r:id="rId26" w:history="1">
        <w:r>
          <w:rPr>
            <w:color w:val="0563C1"/>
            <w:u w:val="single"/>
          </w:rPr>
          <w:t xml:space="preserve">Building the ISMS, Context of the Organization (Clause 4)</w:t>
        </w:r>
      </w:hyperlink>
      <w:r>
        <w:rPr>
          <w:b w:val="0"/>
        </w:rPr>
        <w:t xml:space="preserve"> — Primary operating chapter for this companion artifact.</w:t>
      </w:r>
    </w:p>
    <w:p>
      <w:pPr>
        <w:pStyle w:val="1006"/>
        <w:ind w:left="360" w:hanging="259"/>
        <w:numPr>
          <w:ilvl w:val="0"/>
          <w:numId w:val="13"/>
        </w:numPr>
      </w:pPr>
      <w:hyperlink r:id="rId26" w:history="1">
        <w:r>
          <w:rPr>
            <w:color w:val="0563C1"/>
            <w:u w:val="single"/>
          </w:rPr>
          <w:t xml:space="preserve">Building the ISMS, Context of the Organization (Clause 4)</w:t>
        </w:r>
      </w:hyperlink>
      <w:r>
        <w:rPr>
          <w:b w:val="0"/>
        </w:rPr>
        <w:t xml:space="preserve"> — Context and scope the architecture must support.</w:t>
      </w:r>
    </w:p>
    <w:p>
      <w:pPr>
        <w:pStyle w:val="1006"/>
        <w:ind w:left="360" w:hanging="259"/>
        <w:numPr>
          <w:ilvl w:val="0"/>
          <w:numId w:val="13"/>
        </w:numPr>
      </w:pPr>
      <w:hyperlink r:id="rId27" w:history="1">
        <w:r>
          <w:rPr>
            <w:color w:val="0563C1"/>
            <w:u w:val="single"/>
          </w:rPr>
          <w:t xml:space="preserve">Secure Engineering, Secure SDLC Framework &amp; Change Management</w:t>
        </w:r>
      </w:hyperlink>
      <w:r>
        <w:rPr>
          <w:b w:val="0"/>
        </w:rPr>
        <w:t xml:space="preserve"> — Engineering and change paths.</w:t>
      </w:r>
    </w:p>
    <w:p>
      <w:pPr>
        <w:pStyle w:val="1006"/>
        <w:ind w:left="360" w:hanging="259"/>
        <w:numPr>
          <w:ilvl w:val="0"/>
          <w:numId w:val="13"/>
        </w:numPr>
      </w:pPr>
      <w:hyperlink r:id="rId28" w:history="1">
        <w:r>
          <w:rPr>
            <w:color w:val="0563C1"/>
            <w:u w:val="single"/>
          </w:rPr>
          <w:t xml:space="preserve">Secure Operations, Advanced Monitoring, Threat Detection &amp; Hunting</w:t>
        </w:r>
      </w:hyperlink>
      <w:r>
        <w:rPr>
          <w:b w:val="0"/>
        </w:rPr>
        <w:t xml:space="preserve"> — Operations, logging and restore.</w:t>
      </w:r>
    </w:p>
    <w:sectPr>
      <w:headerReference w:type="default" r:id="rId10"/>
      <w:footerReference w:type="default" r:id="rId11"/>
      <w:headerReference w:type="first" r:id="rId14"/>
      <w:footerReference w:type="first" r:id="rId15"/>
      <w:footnotePr/>
      <w:endnotePr/>
      <w:type w:val="nextPage"/>
      <w:pgSz w:h="15840" w:orient="portrait" w:w="12240"/>
      <w:pgMar w:top="1008" w:right="1080" w:bottom="1008" w:left="1080" w:header="720" w:footer="720"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Symbol">
    <w:panose1 w:val="05010000000000000000"/>
  </w:font>
  <w:font w:name="Courier"/>
  <w:font w:name="Arial">
    <w:panose1 w:val="020B0604020202020204"/>
  </w:font>
  <w:font w:name="Times New Roman">
    <w:panose1 w:val="020206030504050203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tbl>
    <w:tblPr>
      <w:tblStyle w:val="1033"/>
      <w:tblW w:w="0" w:type="auto"/>
      <w:tblBorders/>
      <w:tblLayout w:type="fixed"/>
      <w:tblLook w:val="04A0" w:firstRow="1" w:lastRow="0" w:firstColumn="1" w:lastColumn="0" w:noHBand="0" w:noVBand="1"/>
    </w:tblPr>
    <w:tblGrid>
      <w:gridCol w:w="8949"/>
      <w:gridCol w:w="1131"/>
    </w:tblGrid>
    <w:tr>
      <w:trPr/>
      <w:tc>
        <w:tcPr>
          <w:tcBorders>
            <w:top w:val="none" w:color="000000" w:sz="4" w:space="0"/>
            <w:left w:val="none" w:color="000000" w:sz="4" w:space="0"/>
            <w:bottom w:val="none" w:color="000000" w:sz="4" w:space="0"/>
            <w:right w:val="none" w:color="000000" w:sz="4" w:space="0"/>
          </w:tcBorders>
          <w:tcW w:w="8949" w:type="dxa"/>
        </w:tcPr>
        <w:p w14:paraId="5CF692DF">
          <w:pPr>
            <w:pStyle w:val="971"/>
            <w:pBdr/>
            <w:spacing/>
            <w:ind/>
            <w:jc w:val="left"/>
            <w:rPr/>
          </w:pPr>
          <w:r>
            <w:rPr>
              <w:sz w:val="16"/>
            </w:rPr>
            <w:t xml:space="preserve">© </w:t>
          </w:r>
          <w:r>
            <w:rPr>
              <w:sz w:val="16"/>
              <w:lang w:val="es-ES"/>
            </w:rPr>
            <w:t xml:space="preserve">2026</w:t>
          </w:r>
          <w:r>
            <w:rPr>
              <w:sz w:val="16"/>
            </w:rPr>
            <w:t xml:space="preserve">.</w:t>
          </w:r>
          <w:r>
            <w:rPr>
              <w:sz w:val="16"/>
              <w:lang w:val="es-ES"/>
            </w:rPr>
            <w:t xml:space="preserve"> MessemerTech O</w:t>
          </w:r>
          <w:r>
            <w:rPr>
              <w:sz w:val="16"/>
              <w:lang w:val="es-ES"/>
            </w:rPr>
            <w:t xml:space="preserve">Ü</w:t>
          </w:r>
          <w:r>
            <w:rPr>
              <w:sz w:val="16"/>
              <w:lang w:val="es-ES"/>
            </w:rPr>
            <w:t xml:space="preserve">.</w:t>
          </w:r>
          <w:r>
            <w:rPr>
              <w:sz w:val="16"/>
            </w:rPr>
            <w:t xml:space="preserve"> ExportableProof is an imprint of MessemerTech. All rights reserved.</w:t>
          </w:r>
          <w:r>
            <w:rPr>
              <w:sz w:val="16"/>
              <w:lang w:val="es-ES"/>
            </w:rPr>
            <w:t xml:space="preserve"> </w:t>
          </w:r>
          <w:r/>
        </w:p>
        <w:p w14:paraId="4D434DCC">
          <w:pPr>
            <w:pStyle w:val="971"/>
            <w:pBdr/>
            <w:spacing/>
            <w:ind/>
            <w:jc w:val="center"/>
            <w:rPr>
              <w:sz w:val="16"/>
              <w:szCs w:val="16"/>
            </w:rPr>
          </w:pPr>
          <w:r>
            <w:rPr>
              <w:sz w:val="16"/>
              <w:szCs w:val="16"/>
            </w:rPr>
          </w:r>
          <w:r>
            <w:rPr>
              <w:sz w:val="16"/>
              <w:szCs w:val="16"/>
            </w:rPr>
          </w:r>
          <w:r>
            <w:rPr>
              <w:sz w:val="16"/>
              <w:szCs w:val="16"/>
            </w:rPr>
          </w:r>
        </w:p>
      </w:tc>
      <w:tc>
        <w:tcPr>
          <w:tcBorders>
            <w:top w:val="none" w:color="000000" w:sz="4" w:space="0"/>
            <w:left w:val="none" w:color="000000" w:sz="4" w:space="0"/>
            <w:bottom w:val="none" w:color="000000" w:sz="4" w:space="0"/>
            <w:right w:val="none" w:color="000000" w:sz="4" w:space="0"/>
          </w:tcBorders>
          <w:tcW w:w="1131" w:type="dxa"/>
        </w:tcPr>
        <w:p w14:paraId="3F298D0C">
          <w:pPr>
            <w:pStyle w:val="971"/>
            <w:pBdr/>
            <w:spacing/>
            <w:ind/>
            <w:jc w:val="center"/>
            <w:rPr>
              <w:sz w:val="16"/>
              <w:szCs w:val="16"/>
            </w:rPr>
          </w:pPr>
          <w:r>
            <w:rPr>
              <w:sz w:val="16"/>
              <w:szCs w:val="16"/>
            </w:rPr>
          </w:r>
          <w:r>
            <w:rPr>
              <w:sz w:val="16"/>
              <w:lang w:val="es-ES"/>
            </w:rPr>
            <w:t xml:space="preserve">Page </w:t>
          </w:r>
          <w:fldSimple w:instr="PAGE \* MERGEFORMAT">
            <w:r>
              <w:rPr>
                <w:sz w:val="16"/>
                <w:lang w:val="es-ES"/>
              </w:rPr>
              <w:t xml:space="preserve">1</w:t>
            </w:r>
          </w:fldSimple>
          <w:r>
            <w:rPr>
              <w:sz w:val="16"/>
              <w:lang w:val="es-ES"/>
            </w:rPr>
          </w:r>
          <w:r>
            <w:rPr>
              <w:sz w:val="16"/>
              <w:szCs w:val="16"/>
            </w:rPr>
          </w:r>
          <w:r>
            <w:rPr>
              <w:sz w:val="16"/>
              <w:szCs w:val="16"/>
            </w:rPr>
          </w:r>
        </w:p>
      </w:tc>
    </w:tr>
  </w:tbl>
  <w:p>
    <w:pPr>
      <w:pStyle w:val="971"/>
      <w:pBdr/>
      <w:spacing/>
      <w:ind/>
      <w:jc w:val="center"/>
      <w:rPr/>
    </w:pPr>
    <w:r>
      <w:rPr>
        <w:sz w:val="16"/>
      </w:rPr>
    </w:r>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D8C6AB4">
    <w:pPr>
      <w:pStyle w:val="969"/>
      <w:pBdr/>
      <w:spacing/>
      <w:ind/>
      <w:rPr/>
    </w:pPr>
    <w:r/>
    <w:r/>
  </w:p>
  <w:tbl>
    <w:tblPr>
      <w:tblStyle w:val="1033"/>
      <w:tblW w:w="0" w:type="auto"/>
      <w:tblBorders/>
      <w:tblLayout w:type="fixed"/>
      <w:tblLook w:val="04A0" w:firstRow="1" w:lastRow="0" w:firstColumn="1" w:lastColumn="0" w:noHBand="0" w:noVBand="1"/>
    </w:tblPr>
    <w:tblGrid>
      <w:gridCol w:w="7674"/>
      <w:gridCol w:w="2409"/>
    </w:tblGrid>
    <w:tr>
      <w:trPr/>
      <w:tc>
        <w:tcPr>
          <w:tcBorders>
            <w:top w:val="none" w:color="000000" w:sz="4" w:space="0"/>
            <w:left w:val="none" w:color="000000" w:sz="4" w:space="0"/>
            <w:bottom w:val="none" w:color="000000" w:sz="4" w:space="0"/>
            <w:right w:val="none" w:color="000000" w:sz="4" w:space="0"/>
          </w:tcBorders>
          <w:tcW w:w="7674" w:type="dxa"/>
        </w:tcPr>
        <w:p w14:paraId="0010B06F">
          <w:pPr>
            <w:pStyle w:val="969"/>
            <w:pBdr/>
            <w:spacing/>
            <w:ind/>
            <w:rPr/>
          </w:pPr>
          <w:r>
            <w:rPr>
              <w:lang w:val="es-ES"/>
            </w:rPr>
            <w:t xml:space="preserve">Systems Architecture Statement (SAS)</w:t>
          </w:r>
          <w:r/>
        </w:p>
      </w:tc>
      <w:tc>
        <w:tcPr>
          <w:tcBorders>
            <w:top w:val="none" w:color="000000" w:sz="4" w:space="0"/>
            <w:left w:val="none" w:color="000000" w:sz="4" w:space="0"/>
            <w:bottom w:val="none" w:color="000000" w:sz="4" w:space="0"/>
            <w:right w:val="none" w:color="000000" w:sz="4" w:space="0"/>
          </w:tcBorders>
          <w:tcW w:w="2409" w:type="dxa"/>
        </w:tcPr>
        <w:p w14:paraId="7DF2328B">
          <w:pPr>
            <w:pStyle w:val="969"/>
            <w:pBdr/>
            <w:spacing/>
            <w:ind/>
            <w:rPr/>
          </w:pPr>
          <w:r>
            <mc:AlternateContent>
              <mc:Choice Requires="wpg">
                <w:drawing>
                  <wp:inline xmlns:wp="http://schemas.openxmlformats.org/drawingml/2006/wordprocessingDrawing" distT="0" distB="0" distL="0" distR="0">
                    <wp:extent cx="1510455" cy="377614"/>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732848" name=""/>
                            <pic:cNvPicPr>
                              <a:picLocks noChangeAspect="1"/>
                            </pic:cNvPicPr>
                            <pic:nvPr/>
                          </pic:nvPicPr>
                          <pic:blipFill rotWithShape="1">
                            <a:blip r:embed="rId1"/>
                            <a:stretch/>
                          </pic:blipFill>
                          <pic:spPr bwMode="auto">
                            <a:xfrm flipH="0" flipV="0">
                              <a:off x="0" y="0"/>
                              <a:ext cx="1510454" cy="3776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18.93pt;height:29.73pt;mso-wrap-distance-left:0.00pt;mso-wrap-distance-top:0.00pt;mso-wrap-distance-right:0.00pt;mso-wrap-distance-bottom:0.00pt;z-index:1;" stroked="false">
                    <v:imagedata r:id="rId1" o:title=""/>
                    <o:lock v:ext="edit" rotation="t"/>
                  </v:shape>
                </w:pict>
              </mc:Fallback>
            </mc:AlternateContent>
          </w:r>
          <w:r/>
        </w:p>
      </w:tc>
    </w:tr>
  </w:tbl>
  <w:p w14:paraId="149041BC">
    <w:pPr>
      <w:pStyle w:val="969"/>
      <w:pBdr/>
      <w:spacing/>
      <w:ind/>
      <w:rPr/>
    </w:pPr>
    <w: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lvl w:ilvl="0">
      <w:isLgl w:val="false"/>
      <w:lvlJc w:val="left"/>
      <w:lvlText w:val="%1."/>
      <w:numFmt w:val="decimal"/>
      <w:pPr>
        <w:pBdr/>
        <w:tabs>
          <w:tab w:val="num" w:leader="none" w:pos="1800"/>
        </w:tabs>
        <w:spacing/>
        <w:ind w:hanging="360" w:left="180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1">
    <w:nsid w:val="FFFFFF7D"/>
    <w:lvl w:ilvl="0">
      <w:isLgl w:val="false"/>
      <w:lvlJc w:val="left"/>
      <w:lvlText w:val="%1."/>
      <w:numFmt w:val="decimal"/>
      <w:pPr>
        <w:pBdr/>
        <w:tabs>
          <w:tab w:val="num" w:leader="none" w:pos="1440"/>
        </w:tabs>
        <w:spacing/>
        <w:ind w:hanging="360" w:left="1440"/>
      </w:pPr>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2">
    <w:nsid w:val="FFFFFF7E"/>
    <w:lvl w:ilvl="0">
      <w:isLgl w:val="false"/>
      <w:lvlJc w:val="left"/>
      <w:lvlText w:val="%1."/>
      <w:numFmt w:val="decimal"/>
      <w:pPr>
        <w:pBdr/>
        <w:tabs>
          <w:tab w:val="num" w:leader="none" w:pos="1080"/>
        </w:tabs>
        <w:spacing/>
        <w:ind w:hanging="360" w:left="1080"/>
      </w:pPr>
      <w:pStyle w:val="1008"/>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3">
    <w:nsid w:val="FFFFFF7F"/>
    <w:lvl w:ilvl="0">
      <w:isLgl w:val="false"/>
      <w:lvlJc w:val="left"/>
      <w:lvlText w:val="%1."/>
      <w:numFmt w:val="decimal"/>
      <w:pPr>
        <w:pBdr/>
        <w:tabs>
          <w:tab w:val="num" w:leader="none" w:pos="720"/>
        </w:tabs>
        <w:spacing/>
        <w:ind w:hanging="360" w:left="720"/>
      </w:pPr>
      <w:pStyle w:val="1007"/>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4">
    <w:nsid w:val="FFFFFF81"/>
    <w:lvl w:ilvl="0">
      <w:isLgl w:val="false"/>
      <w:lvlJc w:val="left"/>
      <w:lvlText w:val=""/>
      <w:numFmt w:val="bullet"/>
      <w:pPr>
        <w:pBdr/>
        <w:tabs>
          <w:tab w:val="num" w:leader="none" w:pos="1440"/>
        </w:tabs>
        <w:spacing/>
        <w:ind w:hanging="360" w:left="1440"/>
      </w:pPr>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5">
    <w:nsid w:val="FFFFFF82"/>
    <w:lvl w:ilvl="0">
      <w:isLgl w:val="false"/>
      <w:lvlJc w:val="left"/>
      <w:lvlText w:val=""/>
      <w:numFmt w:val="bullet"/>
      <w:pPr>
        <w:pBdr/>
        <w:tabs>
          <w:tab w:val="num" w:leader="none" w:pos="1080"/>
        </w:tabs>
        <w:spacing/>
        <w:ind w:hanging="360" w:left="1080"/>
      </w:pPr>
      <w:pStyle w:val="1005"/>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6">
    <w:nsid w:val="FFFFFF83"/>
    <w:lvl w:ilvl="0">
      <w:isLgl w:val="false"/>
      <w:lvlJc w:val="left"/>
      <w:lvlText w:val=""/>
      <w:numFmt w:val="bullet"/>
      <w:pPr>
        <w:pBdr/>
        <w:tabs>
          <w:tab w:val="num" w:leader="none" w:pos="720"/>
        </w:tabs>
        <w:spacing/>
        <w:ind w:hanging="360" w:left="720"/>
      </w:pPr>
      <w:pStyle w:val="1004"/>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7">
    <w:nsid w:val="FFFFFF88"/>
    <w:lvl w:ilvl="0">
      <w:isLgl w:val="false"/>
      <w:lvlJc w:val="left"/>
      <w:lvlText w:val="%1."/>
      <w:numFmt w:val="decimal"/>
      <w:pPr>
        <w:pBdr/>
        <w:tabs>
          <w:tab w:val="num" w:leader="none" w:pos="360"/>
        </w:tabs>
        <w:spacing/>
        <w:ind w:hanging="360" w:left="360"/>
      </w:pPr>
      <w:pStyle w:val="1006"/>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abstractNum w:abstractNumId="8">
    <w:nsid w:val="FFFFFF89"/>
    <w:lvl w:ilvl="0">
      <w:isLgl w:val="false"/>
      <w:lvlJc w:val="left"/>
      <w:lvlText w:val=""/>
      <w:numFmt w:val="bullet"/>
      <w:pPr>
        <w:pBdr/>
        <w:tabs>
          <w:tab w:val="num" w:leader="none" w:pos="360"/>
        </w:tabs>
        <w:spacing/>
        <w:ind w:hanging="360" w:left="360"/>
      </w:pPr>
      <w:pStyle w:val="1003"/>
      <w:rPr>
        <w:rFonts w:hint="default" w:ascii="Symbol" w:hAnsi="Symbol"/>
      </w:rPr>
      <w:start w:val="1"/>
      <w:suff w:val="tab"/>
    </w:lvl>
    <w:lvl w:ilvl="1">
      <w:isLgl w:val="false"/>
      <w:lvlJc w:val="left"/>
      <w:lvlText w:val=""/>
      <w:numFmt w:val="bullet"/>
      <w:pPr>
        <w:pBdr/>
        <w:spacing/>
        <w:ind/>
      </w:pPr>
      <w:rPr/>
      <w:start w:val="0"/>
      <w:suff w:val="tab"/>
    </w:lvl>
    <w:lvl w:ilvl="2">
      <w:isLgl w:val="false"/>
      <w:lvlJc w:val="left"/>
      <w:lvlText w:val=""/>
      <w:numFmt w:val="bullet"/>
      <w:pPr>
        <w:pBdr/>
        <w:spacing/>
        <w:ind/>
      </w:pPr>
      <w:rPr/>
      <w:start w:val="0"/>
      <w:suff w:val="tab"/>
    </w:lvl>
    <w:lvl w:ilvl="3">
      <w:isLgl w:val="false"/>
      <w:lvlJc w:val="left"/>
      <w:lvlText w:val=""/>
      <w:numFmt w:val="bullet"/>
      <w:pPr>
        <w:pBdr/>
        <w:spacing/>
        <w:ind/>
      </w:pPr>
      <w:rPr/>
      <w:start w:val="0"/>
      <w:suff w:val="tab"/>
    </w:lvl>
    <w:lvl w:ilvl="4">
      <w:isLgl w:val="false"/>
      <w:lvlJc w:val="left"/>
      <w:lvlText w:val=""/>
      <w:numFmt w:val="bullet"/>
      <w:pPr>
        <w:pBdr/>
        <w:spacing/>
        <w:ind/>
      </w:pPr>
      <w:rPr/>
      <w:start w:val="0"/>
      <w:suff w:val="tab"/>
    </w:lvl>
    <w:lvl w:ilvl="5">
      <w:isLgl w:val="false"/>
      <w:lvlJc w:val="left"/>
      <w:lvlText w:val=""/>
      <w:numFmt w:val="bullet"/>
      <w:pPr>
        <w:pBdr/>
        <w:spacing/>
        <w:ind/>
      </w:pPr>
      <w:rPr/>
      <w:start w:val="0"/>
      <w:suff w:val="tab"/>
    </w:lvl>
    <w:lvl w:ilvl="6">
      <w:isLgl w:val="false"/>
      <w:lvlJc w:val="left"/>
      <w:lvlText w:val=""/>
      <w:numFmt w:val="bullet"/>
      <w:pPr>
        <w:pBdr/>
        <w:spacing/>
        <w:ind/>
      </w:pPr>
      <w:rPr/>
      <w:start w:val="0"/>
      <w:suff w:val="tab"/>
    </w:lvl>
    <w:lvl w:ilvl="7">
      <w:isLgl w:val="false"/>
      <w:lvlJc w:val="left"/>
      <w:lvlText w:val=""/>
      <w:numFmt w:val="bullet"/>
      <w:pPr>
        <w:pBdr/>
        <w:spacing/>
        <w:ind/>
      </w:pPr>
      <w:rPr/>
      <w:start w:val="0"/>
      <w:suff w:val="tab"/>
    </w:lvl>
    <w:lvl w:ilvl="8">
      <w:isLgl w:val="false"/>
      <w:lvlJc w:val="left"/>
      <w:lvlText w:val=""/>
      <w:numFmt w:val="bullet"/>
      <w:pPr>
        <w:pBdr/>
        <w:spacing/>
        <w:ind/>
      </w:pPr>
      <w:rPr/>
      <w:start w:val="0"/>
      <w:suff w:val="tab"/>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useFELayout w:val="tru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EastAsia"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24">
    <w:name w:val="Table Grid Light"/>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Plain Table 1"/>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Plain Table 2"/>
    <w:basedOn w:val="98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Plain Table 3"/>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Plain Table 4"/>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Plain Table 5"/>
    <w:basedOn w:val="98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1 Light"/>
    <w:basedOn w:val="98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1 Light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1 Light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1 Light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1 Light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1 Light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1 Light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2"/>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2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2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2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2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2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2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3"/>
    <w:basedOn w:val="98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3 - Accent 1"/>
    <w:basedOn w:val="98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3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3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3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3 - Accent 5"/>
    <w:basedOn w:val="98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3 - Accent 6"/>
    <w:basedOn w:val="98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4"/>
    <w:basedOn w:val="98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4 - Accent 1"/>
    <w:basedOn w:val="98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4 - Accent 2"/>
    <w:basedOn w:val="98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4 - Accent 3"/>
    <w:basedOn w:val="98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4 - Accent 4"/>
    <w:basedOn w:val="98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4 - Accent 5"/>
    <w:basedOn w:val="98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4 - Accent 6"/>
    <w:basedOn w:val="98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5 Dark"/>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5 Dark- Accent 1"/>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5 Dark - Accent 2"/>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5 Dark - Accent 3"/>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5 Dark- Accent 4"/>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5 Dark - Accent 5"/>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5 Dark - Accent 6"/>
    <w:basedOn w:val="98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66">
    <w:name w:val="Grid Table 6 Colorful - Accent 1"/>
    <w:basedOn w:val="98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67">
    <w:name w:val="Grid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68">
    <w:name w:val="Grid Table 6 Colorful - Accent 3"/>
    <w:basedOn w:val="98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69">
    <w:name w:val="Grid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70">
    <w:name w:val="Grid Table 6 Colorful - Accent 5"/>
    <w:basedOn w:val="98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1">
    <w:name w:val="Grid Table 6 Colorful - Accent 6"/>
    <w:basedOn w:val="98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72">
    <w:name w:val="Grid Table 7 Colorful"/>
    <w:basedOn w:val="98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7 Colorful - Accent 1"/>
    <w:basedOn w:val="98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7 Colorful - Accent 2"/>
    <w:basedOn w:val="98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7 Colorful - Accent 3"/>
    <w:basedOn w:val="98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7 Colorful - Accent 4"/>
    <w:basedOn w:val="98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7 Colorful - Accent 5"/>
    <w:basedOn w:val="98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7 Colorful - Accent 6"/>
    <w:basedOn w:val="98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1 Light"/>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1 Light - Accent 1"/>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1 Light - Accent 2"/>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1 Light - Accent 3"/>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1 Light - Accent 4"/>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1 Light - Accent 5"/>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1 Light - Accent 6"/>
    <w:basedOn w:val="98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2"/>
    <w:basedOn w:val="98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2 - Accent 1"/>
    <w:basedOn w:val="98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2 - Accent 2"/>
    <w:basedOn w:val="98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List Table 2 - Accent 3"/>
    <w:basedOn w:val="98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List Table 2 - Accent 4"/>
    <w:basedOn w:val="98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List Table 2 - Accent 5"/>
    <w:basedOn w:val="98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2 - Accent 6"/>
    <w:basedOn w:val="98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3"/>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3 - Accent 1"/>
    <w:basedOn w:val="98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3 - Accent 2"/>
    <w:basedOn w:val="98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3 - Accent 3"/>
    <w:basedOn w:val="98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3 - Accent 4"/>
    <w:basedOn w:val="98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3 - Accent 5"/>
    <w:basedOn w:val="98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3 - Accent 6"/>
    <w:basedOn w:val="98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4"/>
    <w:basedOn w:val="98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4 - Accent 1"/>
    <w:basedOn w:val="98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4 - Accent 2"/>
    <w:basedOn w:val="98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4 - Accent 3"/>
    <w:basedOn w:val="98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4 - Accent 4"/>
    <w:basedOn w:val="98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4 - Accent 5"/>
    <w:basedOn w:val="98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4 - Accent 6"/>
    <w:basedOn w:val="98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5 Dark"/>
    <w:basedOn w:val="98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8">
    <w:name w:val="List Table 5 Dark - Accent 1"/>
    <w:basedOn w:val="98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09">
    <w:name w:val="List Table 5 Dark - Accent 2"/>
    <w:basedOn w:val="98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0">
    <w:name w:val="List Table 5 Dark - Accent 3"/>
    <w:basedOn w:val="98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1">
    <w:name w:val="List Table 5 Dark - Accent 4"/>
    <w:basedOn w:val="98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2">
    <w:name w:val="List Table 5 Dark - Accent 5"/>
    <w:basedOn w:val="98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3">
    <w:name w:val="List Table 5 Dark - Accent 6"/>
    <w:basedOn w:val="98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14">
    <w:name w:val="List Table 6 Colorful"/>
    <w:basedOn w:val="98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6 Colorful - Accent 1"/>
    <w:basedOn w:val="98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6 Colorful - Accent 2"/>
    <w:basedOn w:val="98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6 Colorful - Accent 3"/>
    <w:basedOn w:val="98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6 Colorful - Accent 4"/>
    <w:basedOn w:val="98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6 Colorful - Accent 5"/>
    <w:basedOn w:val="98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6 Colorful - Accent 6"/>
    <w:basedOn w:val="98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7 Colorful"/>
    <w:basedOn w:val="98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22">
    <w:name w:val="List Table 7 Colorful - Accent 1"/>
    <w:basedOn w:val="98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23">
    <w:name w:val="List Table 7 Colorful - Accent 2"/>
    <w:basedOn w:val="98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24">
    <w:name w:val="List Table 7 Colorful - Accent 3"/>
    <w:basedOn w:val="98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25">
    <w:name w:val="List Table 7 Colorful - Accent 4"/>
    <w:basedOn w:val="98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26">
    <w:name w:val="List Table 7 Colorful - Accent 5"/>
    <w:basedOn w:val="98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27">
    <w:name w:val="List Table 7 Colorful - Accent 6"/>
    <w:basedOn w:val="98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28">
    <w:name w:val="Lined - Accent"/>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ned - Accent 1"/>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ned - Accent 2"/>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ned - Accent 3"/>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ned - Accent 4"/>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ned - Accent 5"/>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ned - Accent 6"/>
    <w:basedOn w:val="98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Bordered &amp; Lined - Accent"/>
    <w:basedOn w:val="98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Bordered &amp; Lined - Accent 1"/>
    <w:basedOn w:val="98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Bordered &amp; Lined - Accent 2"/>
    <w:basedOn w:val="98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Bordered &amp; Lined - Accent 3"/>
    <w:basedOn w:val="98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Bordered &amp; Lined - Accent 4"/>
    <w:basedOn w:val="98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Bordered &amp; Lined - Accent 5"/>
    <w:basedOn w:val="98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Bordered &amp; Lined - Accent 6"/>
    <w:basedOn w:val="98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Bordered"/>
    <w:basedOn w:val="98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Bordered - Accent 1"/>
    <w:basedOn w:val="98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Bordered - Accent 2"/>
    <w:basedOn w:val="98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Bordered - Accent 3"/>
    <w:basedOn w:val="98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Bordered - Accent 4"/>
    <w:basedOn w:val="98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Bordered - Accent 5"/>
    <w:basedOn w:val="98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 Accent 6"/>
    <w:basedOn w:val="98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49">
    <w:name w:val="footnote text"/>
    <w:link w:val="950"/>
    <w:uiPriority w:val="99"/>
    <w:semiHidden/>
    <w:unhideWhenUsed/>
    <w:pPr>
      <w:pBdr/>
      <w:spacing w:after="0" w:line="240" w:lineRule="auto"/>
      <w:ind/>
    </w:pPr>
    <w:rPr>
      <w:sz w:val="20"/>
      <w:szCs w:val="20"/>
    </w:rPr>
  </w:style>
  <w:style w:type="character" w:styleId="950">
    <w:name w:val="Footnote Text Char"/>
    <w:basedOn w:val="982"/>
    <w:link w:val="949"/>
    <w:uiPriority w:val="99"/>
    <w:semiHidden/>
    <w:pPr>
      <w:pBdr/>
      <w:spacing/>
      <w:ind/>
    </w:pPr>
    <w:rPr>
      <w:sz w:val="20"/>
      <w:szCs w:val="20"/>
    </w:rPr>
  </w:style>
  <w:style w:type="character" w:styleId="951">
    <w:name w:val="footnote reference"/>
    <w:basedOn w:val="982"/>
    <w:uiPriority w:val="99"/>
    <w:semiHidden/>
    <w:unhideWhenUsed/>
    <w:pPr>
      <w:pBdr/>
      <w:spacing/>
      <w:ind/>
    </w:pPr>
    <w:rPr>
      <w:vertAlign w:val="superscript"/>
    </w:rPr>
  </w:style>
  <w:style w:type="paragraph" w:styleId="952">
    <w:name w:val="endnote text"/>
    <w:link w:val="953"/>
    <w:uiPriority w:val="99"/>
    <w:semiHidden/>
    <w:unhideWhenUsed/>
    <w:pPr>
      <w:pBdr/>
      <w:spacing w:after="0" w:line="240" w:lineRule="auto"/>
      <w:ind/>
    </w:pPr>
    <w:rPr>
      <w:sz w:val="20"/>
      <w:szCs w:val="20"/>
    </w:rPr>
  </w:style>
  <w:style w:type="character" w:styleId="953">
    <w:name w:val="Endnote Text Char"/>
    <w:basedOn w:val="982"/>
    <w:link w:val="952"/>
    <w:uiPriority w:val="99"/>
    <w:semiHidden/>
    <w:pPr>
      <w:pBdr/>
      <w:spacing/>
      <w:ind/>
    </w:pPr>
    <w:rPr>
      <w:sz w:val="20"/>
      <w:szCs w:val="20"/>
    </w:rPr>
  </w:style>
  <w:style w:type="character" w:styleId="954">
    <w:name w:val="endnote reference"/>
    <w:basedOn w:val="982"/>
    <w:uiPriority w:val="99"/>
    <w:semiHidden/>
    <w:unhideWhenUsed/>
    <w:pPr>
      <w:pBdr/>
      <w:spacing/>
      <w:ind/>
    </w:pPr>
    <w:rPr>
      <w:vertAlign w:val="superscript"/>
    </w:rPr>
  </w:style>
  <w:style w:type="character" w:styleId="955">
    <w:name w:val="Hyperlink"/>
    <w:basedOn w:val="982"/>
    <w:uiPriority w:val="99"/>
    <w:unhideWhenUsed/>
    <w:pPr>
      <w:pBdr/>
      <w:spacing/>
      <w:ind/>
    </w:pPr>
    <w:rPr>
      <w:color w:val="0563c1" w:themeColor="hyperlink"/>
      <w:u w:val="single"/>
    </w:rPr>
  </w:style>
  <w:style w:type="character" w:styleId="956">
    <w:name w:val="FollowedHyperlink"/>
    <w:basedOn w:val="982"/>
    <w:uiPriority w:val="99"/>
    <w:semiHidden/>
    <w:unhideWhenUsed/>
    <w:pPr>
      <w:pBdr/>
      <w:spacing/>
      <w:ind/>
    </w:pPr>
    <w:rPr>
      <w:color w:val="954f72" w:themeColor="followedHyperlink"/>
      <w:u w:val="single"/>
    </w:rPr>
  </w:style>
  <w:style w:type="paragraph" w:styleId="957">
    <w:name w:val="toc 1"/>
    <w:uiPriority w:val="39"/>
    <w:unhideWhenUsed/>
    <w:pPr>
      <w:pBdr/>
      <w:spacing w:after="100"/>
      <w:ind/>
    </w:pPr>
  </w:style>
  <w:style w:type="paragraph" w:styleId="958">
    <w:name w:val="toc 2"/>
    <w:uiPriority w:val="39"/>
    <w:unhideWhenUsed/>
    <w:pPr>
      <w:pBdr/>
      <w:spacing w:after="100"/>
      <w:ind w:left="220"/>
    </w:pPr>
  </w:style>
  <w:style w:type="paragraph" w:styleId="959">
    <w:name w:val="toc 3"/>
    <w:uiPriority w:val="39"/>
    <w:unhideWhenUsed/>
    <w:pPr>
      <w:pBdr/>
      <w:spacing w:after="100"/>
      <w:ind w:left="440"/>
    </w:pPr>
  </w:style>
  <w:style w:type="paragraph" w:styleId="960">
    <w:name w:val="toc 4"/>
    <w:uiPriority w:val="39"/>
    <w:unhideWhenUsed/>
    <w:pPr>
      <w:pBdr/>
      <w:spacing w:after="100"/>
      <w:ind w:left="660"/>
    </w:pPr>
  </w:style>
  <w:style w:type="paragraph" w:styleId="961">
    <w:name w:val="toc 5"/>
    <w:uiPriority w:val="39"/>
    <w:unhideWhenUsed/>
    <w:pPr>
      <w:pBdr/>
      <w:spacing w:after="100"/>
      <w:ind w:left="880"/>
    </w:pPr>
  </w:style>
  <w:style w:type="paragraph" w:styleId="962">
    <w:name w:val="toc 6"/>
    <w:uiPriority w:val="39"/>
    <w:unhideWhenUsed/>
    <w:pPr>
      <w:pBdr/>
      <w:spacing w:after="100"/>
      <w:ind w:left="1100"/>
    </w:pPr>
  </w:style>
  <w:style w:type="paragraph" w:styleId="963">
    <w:name w:val="toc 7"/>
    <w:uiPriority w:val="39"/>
    <w:unhideWhenUsed/>
    <w:pPr>
      <w:pBdr/>
      <w:spacing w:after="100"/>
      <w:ind w:left="1320"/>
    </w:pPr>
  </w:style>
  <w:style w:type="paragraph" w:styleId="964">
    <w:name w:val="toc 8"/>
    <w:uiPriority w:val="39"/>
    <w:unhideWhenUsed/>
    <w:pPr>
      <w:pBdr/>
      <w:spacing w:after="100"/>
      <w:ind w:left="1540"/>
    </w:pPr>
  </w:style>
  <w:style w:type="paragraph" w:styleId="965">
    <w:name w:val="toc 9"/>
    <w:uiPriority w:val="39"/>
    <w:unhideWhenUsed/>
    <w:pPr>
      <w:pBdr/>
      <w:spacing w:after="100"/>
      <w:ind w:left="1760"/>
    </w:pPr>
  </w:style>
  <w:style w:type="character" w:styleId="966">
    <w:name w:val="Placeholder Text"/>
    <w:basedOn w:val="982"/>
    <w:uiPriority w:val="99"/>
    <w:semiHidden/>
    <w:pPr>
      <w:pBdr/>
      <w:spacing/>
      <w:ind/>
    </w:pPr>
    <w:rPr>
      <w:color w:val="666666"/>
    </w:rPr>
  </w:style>
  <w:style w:type="paragraph" w:styleId="967">
    <w:name w:val="table of figures"/>
    <w:uiPriority w:val="99"/>
    <w:unhideWhenUsed/>
    <w:pPr>
      <w:pBdr/>
      <w:spacing w:after="0" w:afterAutospacing="0"/>
      <w:ind/>
    </w:pPr>
  </w:style>
  <w:style w:type="paragraph" w:styleId="968" w:default="1">
    <w:name w:val="Normal"/>
    <w:qFormat/>
    <w:pPr>
      <w:pBdr/>
      <w:spacing/>
      <w:ind/>
    </w:pPr>
  </w:style>
  <w:style w:type="paragraph" w:styleId="969">
    <w:name w:val="Header"/>
    <w:link w:val="970"/>
    <w:uiPriority w:val="99"/>
    <w:unhideWhenUsed/>
    <w:pPr>
      <w:pBdr/>
      <w:tabs>
        <w:tab w:val="center" w:leader="none" w:pos="4680"/>
        <w:tab w:val="right" w:leader="none" w:pos="9360"/>
      </w:tabs>
      <w:spacing w:after="0" w:line="240" w:lineRule="auto"/>
      <w:ind/>
    </w:pPr>
  </w:style>
  <w:style w:type="character" w:styleId="970" w:customStyle="1">
    <w:name w:val="Header Char"/>
    <w:basedOn w:val="982"/>
    <w:link w:val="969"/>
    <w:uiPriority w:val="99"/>
    <w:pPr>
      <w:pBdr/>
      <w:spacing/>
      <w:ind/>
    </w:pPr>
  </w:style>
  <w:style w:type="paragraph" w:styleId="971">
    <w:name w:val="Footer"/>
    <w:link w:val="972"/>
    <w:uiPriority w:val="99"/>
    <w:unhideWhenUsed/>
    <w:pPr>
      <w:pBdr/>
      <w:tabs>
        <w:tab w:val="center" w:leader="none" w:pos="4680"/>
        <w:tab w:val="right" w:leader="none" w:pos="9360"/>
      </w:tabs>
      <w:spacing w:after="0" w:line="240" w:lineRule="auto"/>
      <w:ind/>
    </w:pPr>
  </w:style>
  <w:style w:type="character" w:styleId="972" w:customStyle="1">
    <w:name w:val="Footer Char"/>
    <w:basedOn w:val="982"/>
    <w:link w:val="971"/>
    <w:uiPriority w:val="99"/>
    <w:pPr>
      <w:pBdr/>
      <w:spacing/>
      <w:ind/>
    </w:pPr>
  </w:style>
  <w:style w:type="paragraph" w:styleId="973">
    <w:name w:val="Heading 1"/>
    <w:link w:val="986"/>
    <w:uiPriority w:val="9"/>
    <w:qFormat/>
    <w:pPr>
      <w:keepNext w:val="true"/>
      <w:keepLines w:val="true"/>
      <w:pBdr/>
      <w:spacing w:after="0" w:before="480"/>
      <w:ind/>
      <w:outlineLvl w:val="0"/>
    </w:pPr>
    <w:rPr>
      <w:rFonts w:asciiTheme="majorHAnsi" w:hAnsiTheme="majorHAnsi" w:eastAsiaTheme="majorEastAsia" w:cstheme="majorBidi"/>
      <w:b/>
      <w:bCs/>
      <w:color w:val="365f91" w:themeColor="accent1" w:themeShade="BF"/>
      <w:sz w:val="28"/>
      <w:szCs w:val="28"/>
    </w:rPr>
  </w:style>
  <w:style w:type="paragraph" w:styleId="974">
    <w:name w:val="Heading 2"/>
    <w:link w:val="987"/>
    <w:uiPriority w:val="9"/>
    <w:unhideWhenUsed/>
    <w:qFormat/>
    <w:pPr>
      <w:keepNext w:val="true"/>
      <w:keepLines w:val="true"/>
      <w:pBdr/>
      <w:spacing w:after="0" w:before="200"/>
      <w:ind/>
      <w:outlineLvl w:val="1"/>
    </w:pPr>
    <w:rPr>
      <w:rFonts w:asciiTheme="majorHAnsi" w:hAnsiTheme="majorHAnsi" w:eastAsiaTheme="majorEastAsia" w:cstheme="majorBidi"/>
      <w:b/>
      <w:bCs/>
      <w:color w:val="4f81bd" w:themeColor="accent1"/>
      <w:sz w:val="26"/>
      <w:szCs w:val="26"/>
    </w:rPr>
  </w:style>
  <w:style w:type="paragraph" w:styleId="975">
    <w:name w:val="Heading 3"/>
    <w:link w:val="988"/>
    <w:uiPriority w:val="9"/>
    <w:unhideWhenUsed/>
    <w:qFormat/>
    <w:pPr>
      <w:keepNext w:val="true"/>
      <w:keepLines w:val="true"/>
      <w:pBdr/>
      <w:spacing w:after="0" w:before="200"/>
      <w:ind/>
      <w:outlineLvl w:val="2"/>
    </w:pPr>
    <w:rPr>
      <w:rFonts w:asciiTheme="majorHAnsi" w:hAnsiTheme="majorHAnsi" w:eastAsiaTheme="majorEastAsia" w:cstheme="majorBidi"/>
      <w:b/>
      <w:bCs/>
      <w:color w:val="4f81bd" w:themeColor="accent1"/>
    </w:rPr>
  </w:style>
  <w:style w:type="paragraph" w:styleId="976">
    <w:name w:val="Heading 4"/>
    <w:link w:val="1016"/>
    <w:uiPriority w:val="9"/>
    <w:semiHidden/>
    <w:unhideWhenUsed/>
    <w:qFormat/>
    <w:pPr>
      <w:keepNext w:val="true"/>
      <w:keepLines w:val="true"/>
      <w:pBdr/>
      <w:spacing w:after="0" w:before="200"/>
      <w:ind/>
      <w:outlineLvl w:val="3"/>
    </w:pPr>
    <w:rPr>
      <w:rFonts w:asciiTheme="majorHAnsi" w:hAnsiTheme="majorHAnsi" w:eastAsiaTheme="majorEastAsia" w:cstheme="majorBidi"/>
      <w:b/>
      <w:bCs/>
      <w:i/>
      <w:iCs/>
      <w:color w:val="4f81bd" w:themeColor="accent1"/>
    </w:rPr>
  </w:style>
  <w:style w:type="paragraph" w:styleId="977">
    <w:name w:val="Heading 5"/>
    <w:link w:val="1017"/>
    <w:uiPriority w:val="9"/>
    <w:semiHidden/>
    <w:unhideWhenUsed/>
    <w:qFormat/>
    <w:pPr>
      <w:keepNext w:val="true"/>
      <w:keepLines w:val="true"/>
      <w:pBdr/>
      <w:spacing w:after="0" w:before="200"/>
      <w:ind/>
      <w:outlineLvl w:val="4"/>
    </w:pPr>
    <w:rPr>
      <w:rFonts w:asciiTheme="majorHAnsi" w:hAnsiTheme="majorHAnsi" w:eastAsiaTheme="majorEastAsia" w:cstheme="majorBidi"/>
      <w:color w:val="243f60" w:themeColor="accent1" w:themeShade="7F"/>
    </w:rPr>
  </w:style>
  <w:style w:type="paragraph" w:styleId="978">
    <w:name w:val="Heading 6"/>
    <w:link w:val="1018"/>
    <w:uiPriority w:val="9"/>
    <w:semiHidden/>
    <w:unhideWhenUsed/>
    <w:qFormat/>
    <w:pPr>
      <w:keepNext w:val="true"/>
      <w:keepLines w:val="true"/>
      <w:pBdr/>
      <w:spacing w:after="0" w:before="200"/>
      <w:ind/>
      <w:outlineLvl w:val="5"/>
    </w:pPr>
    <w:rPr>
      <w:rFonts w:asciiTheme="majorHAnsi" w:hAnsiTheme="majorHAnsi" w:eastAsiaTheme="majorEastAsia" w:cstheme="majorBidi"/>
      <w:i/>
      <w:iCs/>
      <w:color w:val="243f60" w:themeColor="accent1" w:themeShade="7F"/>
    </w:rPr>
  </w:style>
  <w:style w:type="paragraph" w:styleId="979">
    <w:name w:val="Heading 7"/>
    <w:link w:val="1019"/>
    <w:uiPriority w:val="9"/>
    <w:semiHidden/>
    <w:unhideWhenUsed/>
    <w:qFormat/>
    <w:pPr>
      <w:keepNext w:val="true"/>
      <w:keepLines w:val="true"/>
      <w:pBdr/>
      <w:spacing w:after="0" w:before="200"/>
      <w:ind/>
      <w:outlineLvl w:val="6"/>
    </w:pPr>
    <w:rPr>
      <w:rFonts w:asciiTheme="majorHAnsi" w:hAnsiTheme="majorHAnsi" w:eastAsiaTheme="majorEastAsia" w:cstheme="majorBidi"/>
      <w:i/>
      <w:iCs/>
      <w:color w:val="404040" w:themeColor="text1" w:themeTint="BF"/>
    </w:rPr>
  </w:style>
  <w:style w:type="paragraph" w:styleId="980">
    <w:name w:val="Heading 8"/>
    <w:link w:val="1020"/>
    <w:uiPriority w:val="9"/>
    <w:semiHidden/>
    <w:unhideWhenUsed/>
    <w:qFormat/>
    <w:pPr>
      <w:keepNext w:val="true"/>
      <w:keepLines w:val="true"/>
      <w:pBdr/>
      <w:spacing w:after="0" w:before="200"/>
      <w:ind/>
      <w:outlineLvl w:val="7"/>
    </w:pPr>
    <w:rPr>
      <w:rFonts w:asciiTheme="majorHAnsi" w:hAnsiTheme="majorHAnsi" w:eastAsiaTheme="majorEastAsia" w:cstheme="majorBidi"/>
      <w:color w:val="4f81bd" w:themeColor="accent1"/>
      <w:sz w:val="20"/>
      <w:szCs w:val="20"/>
    </w:rPr>
  </w:style>
  <w:style w:type="paragraph" w:styleId="981">
    <w:name w:val="Heading 9"/>
    <w:link w:val="1021"/>
    <w:uiPriority w:val="9"/>
    <w:semiHidden/>
    <w:unhideWhenUsed/>
    <w:qFormat/>
    <w:pPr>
      <w:keepNext w:val="true"/>
      <w:keepLines w:val="true"/>
      <w:pBdr/>
      <w:spacing w:after="0" w:before="200"/>
      <w:ind/>
      <w:outlineLvl w:val="8"/>
    </w:pPr>
    <w:rPr>
      <w:rFonts w:asciiTheme="majorHAnsi" w:hAnsiTheme="majorHAnsi" w:eastAsiaTheme="majorEastAsia" w:cstheme="majorBidi"/>
      <w:i/>
      <w:iCs/>
      <w:color w:val="404040" w:themeColor="text1" w:themeTint="BF"/>
      <w:sz w:val="20"/>
      <w:szCs w:val="20"/>
    </w:rPr>
  </w:style>
  <w:style w:type="character" w:styleId="982" w:default="1">
    <w:name w:val="Default Paragraph Font"/>
    <w:uiPriority w:val="1"/>
    <w:semiHidden/>
    <w:unhideWhenUsed/>
    <w:pPr>
      <w:pBdr/>
      <w:spacing/>
      <w:ind/>
    </w:pPr>
  </w:style>
  <w:style w:type="table" w:styleId="98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4" w:default="1">
    <w:name w:val="No List"/>
    <w:uiPriority w:val="99"/>
    <w:semiHidden/>
    <w:unhideWhenUsed/>
    <w:pPr>
      <w:pBdr/>
      <w:spacing/>
      <w:ind/>
    </w:pPr>
  </w:style>
  <w:style w:type="paragraph" w:styleId="985">
    <w:name w:val="No Spacing"/>
    <w:uiPriority w:val="1"/>
    <w:qFormat/>
    <w:pPr>
      <w:pBdr/>
      <w:spacing w:after="0" w:line="240" w:lineRule="auto"/>
      <w:ind/>
    </w:pPr>
  </w:style>
  <w:style w:type="character" w:styleId="986" w:customStyle="1">
    <w:name w:val="Heading 1 Char"/>
    <w:basedOn w:val="982"/>
    <w:uiPriority w:val="9"/>
    <w:pPr>
      <w:pBdr/>
      <w:spacing/>
      <w:ind/>
    </w:pPr>
    <w:rPr>
      <w:rFonts w:asciiTheme="majorHAnsi" w:hAnsiTheme="majorHAnsi" w:eastAsiaTheme="majorEastAsia" w:cstheme="majorBidi"/>
      <w:b/>
      <w:bCs/>
      <w:color w:val="365f91" w:themeColor="accent1" w:themeShade="BF"/>
      <w:sz w:val="28"/>
      <w:szCs w:val="28"/>
    </w:rPr>
  </w:style>
  <w:style w:type="character" w:styleId="987" w:customStyle="1">
    <w:name w:val="Heading 2 Char"/>
    <w:basedOn w:val="982"/>
    <w:uiPriority w:val="9"/>
    <w:pPr>
      <w:pBdr/>
      <w:spacing/>
      <w:ind/>
    </w:pPr>
    <w:rPr>
      <w:rFonts w:asciiTheme="majorHAnsi" w:hAnsiTheme="majorHAnsi" w:eastAsiaTheme="majorEastAsia" w:cstheme="majorBidi"/>
      <w:b/>
      <w:bCs/>
      <w:color w:val="4f81bd" w:themeColor="accent1"/>
      <w:sz w:val="26"/>
      <w:szCs w:val="26"/>
    </w:rPr>
  </w:style>
  <w:style w:type="character" w:styleId="988" w:customStyle="1">
    <w:name w:val="Heading 3 Char"/>
    <w:basedOn w:val="982"/>
    <w:uiPriority w:val="9"/>
    <w:pPr>
      <w:pBdr/>
      <w:spacing/>
      <w:ind/>
    </w:pPr>
    <w:rPr>
      <w:rFonts w:asciiTheme="majorHAnsi" w:hAnsiTheme="majorHAnsi" w:eastAsiaTheme="majorEastAsia" w:cstheme="majorBidi"/>
      <w:b/>
      <w:bCs/>
      <w:color w:val="4f81bd" w:themeColor="accent1"/>
    </w:rPr>
  </w:style>
  <w:style w:type="paragraph" w:styleId="989">
    <w:name w:val="Title"/>
    <w:link w:val="990"/>
    <w:uiPriority w:val="10"/>
    <w:qFormat/>
    <w:pPr>
      <w:pBdr>
        <w:bottom w:val="single" w:color="4f81bd" w:themeColor="accent1" w:sz="8" w:space="4"/>
      </w:pBdr>
      <w:spacing w:after="300" w:line="240" w:lineRule="auto"/>
      <w:ind/>
      <w:contextualSpacing w:val="true"/>
    </w:pPr>
    <w:rPr>
      <w:rFonts w:asciiTheme="majorHAnsi" w:hAnsiTheme="majorHAnsi" w:eastAsiaTheme="majorEastAsia" w:cstheme="majorBidi"/>
      <w:color w:val="17365d" w:themeColor="text2" w:themeShade="BF"/>
      <w:spacing w:val="5"/>
      <w:sz w:val="52"/>
      <w:szCs w:val="52"/>
    </w:rPr>
  </w:style>
  <w:style w:type="character" w:styleId="990" w:customStyle="1">
    <w:name w:val="Title Char"/>
    <w:basedOn w:val="982"/>
    <w:link w:val="989"/>
    <w:uiPriority w:val="10"/>
    <w:pPr>
      <w:pBdr/>
      <w:spacing/>
      <w:ind/>
    </w:pPr>
    <w:rPr>
      <w:rFonts w:asciiTheme="majorHAnsi" w:hAnsiTheme="majorHAnsi" w:eastAsiaTheme="majorEastAsia" w:cstheme="majorBidi"/>
      <w:color w:val="17365d" w:themeColor="text2" w:themeShade="BF"/>
      <w:spacing w:val="5"/>
      <w:sz w:val="52"/>
      <w:szCs w:val="52"/>
    </w:rPr>
  </w:style>
  <w:style w:type="paragraph" w:styleId="991">
    <w:name w:val="Subtitle"/>
    <w:link w:val="992"/>
    <w:uiPriority w:val="11"/>
    <w:qFormat/>
    <w:pPr>
      <w:numPr>
        <w:ilvl w:val="1"/>
      </w:numPr>
      <w:pBdr/>
      <w:spacing/>
      <w:ind/>
    </w:pPr>
    <w:rPr>
      <w:rFonts w:asciiTheme="majorHAnsi" w:hAnsiTheme="majorHAnsi" w:eastAsiaTheme="majorEastAsia" w:cstheme="majorBidi"/>
      <w:i/>
      <w:iCs/>
      <w:color w:val="4f81bd" w:themeColor="accent1"/>
      <w:spacing w:val="15"/>
      <w:sz w:val="24"/>
      <w:szCs w:val="24"/>
    </w:rPr>
  </w:style>
  <w:style w:type="character" w:styleId="992" w:customStyle="1">
    <w:name w:val="Subtitle Char"/>
    <w:basedOn w:val="982"/>
    <w:link w:val="991"/>
    <w:uiPriority w:val="11"/>
    <w:pPr>
      <w:pBdr/>
      <w:spacing/>
      <w:ind/>
    </w:pPr>
    <w:rPr>
      <w:rFonts w:asciiTheme="majorHAnsi" w:hAnsiTheme="majorHAnsi" w:eastAsiaTheme="majorEastAsia" w:cstheme="majorBidi"/>
      <w:i/>
      <w:iCs/>
      <w:color w:val="4f81bd" w:themeColor="accent1"/>
      <w:spacing w:val="15"/>
      <w:sz w:val="24"/>
      <w:szCs w:val="24"/>
    </w:rPr>
  </w:style>
  <w:style w:type="paragraph" w:styleId="993">
    <w:name w:val="List Paragraph"/>
    <w:uiPriority w:val="34"/>
    <w:qFormat/>
    <w:pPr>
      <w:pBdr/>
      <w:spacing/>
      <w:ind w:left="720"/>
      <w:contextualSpacing w:val="true"/>
    </w:pPr>
  </w:style>
  <w:style w:type="paragraph" w:styleId="994">
    <w:name w:val="Body Text"/>
    <w:link w:val="995"/>
    <w:uiPriority w:val="99"/>
    <w:unhideWhenUsed/>
    <w:pPr>
      <w:pBdr/>
      <w:spacing w:after="120"/>
      <w:ind/>
    </w:pPr>
  </w:style>
  <w:style w:type="character" w:styleId="995" w:customStyle="1">
    <w:name w:val="Body Text Char"/>
    <w:basedOn w:val="982"/>
    <w:link w:val="994"/>
    <w:uiPriority w:val="99"/>
    <w:pPr>
      <w:pBdr/>
      <w:spacing/>
      <w:ind/>
    </w:pPr>
  </w:style>
  <w:style w:type="paragraph" w:styleId="996">
    <w:name w:val="Body Text 2"/>
    <w:link w:val="997"/>
    <w:uiPriority w:val="99"/>
    <w:unhideWhenUsed/>
    <w:pPr>
      <w:pBdr/>
      <w:spacing w:after="120" w:line="480" w:lineRule="auto"/>
      <w:ind/>
    </w:pPr>
  </w:style>
  <w:style w:type="character" w:styleId="997" w:customStyle="1">
    <w:name w:val="Body Text 2 Char"/>
    <w:basedOn w:val="982"/>
    <w:link w:val="996"/>
    <w:uiPriority w:val="99"/>
    <w:pPr>
      <w:pBdr/>
      <w:spacing/>
      <w:ind/>
    </w:pPr>
  </w:style>
  <w:style w:type="paragraph" w:styleId="998">
    <w:name w:val="Body Text 3"/>
    <w:link w:val="999"/>
    <w:uiPriority w:val="99"/>
    <w:unhideWhenUsed/>
    <w:pPr>
      <w:pBdr/>
      <w:spacing w:after="120"/>
      <w:ind/>
    </w:pPr>
    <w:rPr>
      <w:sz w:val="16"/>
      <w:szCs w:val="16"/>
    </w:rPr>
  </w:style>
  <w:style w:type="character" w:styleId="999" w:customStyle="1">
    <w:name w:val="Body Text 3 Char"/>
    <w:basedOn w:val="982"/>
    <w:link w:val="998"/>
    <w:uiPriority w:val="99"/>
    <w:pPr>
      <w:pBdr/>
      <w:spacing/>
      <w:ind/>
    </w:pPr>
    <w:rPr>
      <w:sz w:val="16"/>
      <w:szCs w:val="16"/>
    </w:rPr>
  </w:style>
  <w:style w:type="paragraph" w:styleId="1000">
    <w:name w:val="List"/>
    <w:uiPriority w:val="99"/>
    <w:unhideWhenUsed/>
    <w:pPr>
      <w:pBdr/>
      <w:spacing/>
      <w:ind w:hanging="360" w:left="360"/>
      <w:contextualSpacing w:val="true"/>
    </w:pPr>
  </w:style>
  <w:style w:type="paragraph" w:styleId="1001">
    <w:name w:val="List 2"/>
    <w:uiPriority w:val="99"/>
    <w:unhideWhenUsed/>
    <w:pPr>
      <w:pBdr/>
      <w:spacing/>
      <w:ind w:hanging="360" w:left="720"/>
      <w:contextualSpacing w:val="true"/>
    </w:pPr>
  </w:style>
  <w:style w:type="paragraph" w:styleId="1002">
    <w:name w:val="List 3"/>
    <w:uiPriority w:val="99"/>
    <w:unhideWhenUsed/>
    <w:pPr>
      <w:pBdr/>
      <w:spacing/>
      <w:ind w:hanging="360" w:left="1080"/>
      <w:contextualSpacing w:val="true"/>
    </w:pPr>
  </w:style>
  <w:style w:type="paragraph" w:styleId="1003">
    <w:name w:val="List Bullet"/>
    <w:uiPriority w:val="99"/>
    <w:unhideWhenUsed/>
    <w:pPr>
      <w:numPr>
        <w:numId w:val="1"/>
      </w:numPr>
      <w:pBdr/>
      <w:spacing/>
      <w:ind/>
      <w:contextualSpacing w:val="true"/>
    </w:pPr>
  </w:style>
  <w:style w:type="paragraph" w:styleId="1004">
    <w:name w:val="List Bullet 2"/>
    <w:uiPriority w:val="99"/>
    <w:unhideWhenUsed/>
    <w:pPr>
      <w:numPr>
        <w:numId w:val="2"/>
      </w:numPr>
      <w:pBdr/>
      <w:spacing/>
      <w:ind/>
      <w:contextualSpacing w:val="true"/>
    </w:pPr>
  </w:style>
  <w:style w:type="paragraph" w:styleId="1005">
    <w:name w:val="List Bullet 3"/>
    <w:uiPriority w:val="99"/>
    <w:unhideWhenUsed/>
    <w:pPr>
      <w:numPr>
        <w:numId w:val="3"/>
      </w:numPr>
      <w:pBdr/>
      <w:spacing/>
      <w:ind/>
      <w:contextualSpacing w:val="true"/>
    </w:pPr>
  </w:style>
  <w:style w:type="paragraph" w:styleId="1006">
    <w:name w:val="List Number"/>
    <w:uiPriority w:val="99"/>
    <w:unhideWhenUsed/>
    <w:pPr>
      <w:numPr>
        <w:numId w:val="5"/>
      </w:numPr>
      <w:pBdr/>
      <w:spacing/>
      <w:ind/>
      <w:contextualSpacing w:val="true"/>
    </w:pPr>
  </w:style>
  <w:style w:type="paragraph" w:styleId="1007">
    <w:name w:val="List Number 2"/>
    <w:uiPriority w:val="99"/>
    <w:unhideWhenUsed/>
    <w:pPr>
      <w:numPr>
        <w:numId w:val="6"/>
      </w:numPr>
      <w:pBdr/>
      <w:spacing/>
      <w:ind/>
      <w:contextualSpacing w:val="true"/>
    </w:pPr>
  </w:style>
  <w:style w:type="paragraph" w:styleId="1008">
    <w:name w:val="List Number 3"/>
    <w:uiPriority w:val="99"/>
    <w:unhideWhenUsed/>
    <w:pPr>
      <w:numPr>
        <w:numId w:val="7"/>
      </w:numPr>
      <w:pBdr/>
      <w:spacing/>
      <w:ind/>
      <w:contextualSpacing w:val="true"/>
    </w:pPr>
  </w:style>
  <w:style w:type="paragraph" w:styleId="1009">
    <w:name w:val="List Continue"/>
    <w:uiPriority w:val="99"/>
    <w:unhideWhenUsed/>
    <w:pPr>
      <w:pBdr/>
      <w:spacing w:after="120"/>
      <w:ind w:left="360"/>
      <w:contextualSpacing w:val="true"/>
    </w:pPr>
  </w:style>
  <w:style w:type="paragraph" w:styleId="1010">
    <w:name w:val="List Continue 2"/>
    <w:uiPriority w:val="99"/>
    <w:unhideWhenUsed/>
    <w:pPr>
      <w:pBdr/>
      <w:spacing w:after="120"/>
      <w:ind w:left="720"/>
      <w:contextualSpacing w:val="true"/>
    </w:pPr>
  </w:style>
  <w:style w:type="paragraph" w:styleId="1011">
    <w:name w:val="List Continue 3"/>
    <w:uiPriority w:val="99"/>
    <w:unhideWhenUsed/>
    <w:pPr>
      <w:pBdr/>
      <w:spacing w:after="120"/>
      <w:ind w:left="1080"/>
      <w:contextualSpacing w:val="true"/>
    </w:pPr>
  </w:style>
  <w:style w:type="paragraph" w:styleId="1012">
    <w:name w:val="macro"/>
    <w:link w:val="1013"/>
    <w:uiPriority w:val="99"/>
    <w:unhideWhenUsed/>
    <w:pPr>
      <w:pBdr/>
      <w:tabs>
        <w:tab w:val="left" w:leader="none" w:pos="576"/>
        <w:tab w:val="left" w:leader="none" w:pos="1152"/>
        <w:tab w:val="left" w:leader="none" w:pos="1728"/>
        <w:tab w:val="left" w:leader="none" w:pos="2304"/>
        <w:tab w:val="left" w:leader="none" w:pos="2880"/>
        <w:tab w:val="left" w:leader="none" w:pos="3456"/>
        <w:tab w:val="left" w:leader="none" w:pos="4032"/>
      </w:tabs>
      <w:spacing/>
      <w:ind/>
    </w:pPr>
    <w:rPr>
      <w:rFonts w:ascii="Courier" w:hAnsi="Courier"/>
      <w:sz w:val="20"/>
      <w:szCs w:val="20"/>
    </w:rPr>
  </w:style>
  <w:style w:type="character" w:styleId="1013" w:customStyle="1">
    <w:name w:val="Macro Text Char"/>
    <w:basedOn w:val="982"/>
    <w:link w:val="1012"/>
    <w:uiPriority w:val="99"/>
    <w:pPr>
      <w:pBdr/>
      <w:spacing/>
      <w:ind/>
    </w:pPr>
    <w:rPr>
      <w:rFonts w:ascii="Courier" w:hAnsi="Courier"/>
      <w:sz w:val="20"/>
      <w:szCs w:val="20"/>
    </w:rPr>
  </w:style>
  <w:style w:type="paragraph" w:styleId="1014">
    <w:name w:val="Quote"/>
    <w:link w:val="1015"/>
    <w:uiPriority w:val="29"/>
    <w:qFormat/>
    <w:pPr>
      <w:pBdr/>
      <w:spacing/>
      <w:ind/>
    </w:pPr>
    <w:rPr>
      <w:i/>
      <w:iCs/>
      <w:color w:val="000000" w:themeColor="text1"/>
    </w:rPr>
  </w:style>
  <w:style w:type="character" w:styleId="1015" w:customStyle="1">
    <w:name w:val="Quote Char"/>
    <w:basedOn w:val="982"/>
    <w:link w:val="1014"/>
    <w:uiPriority w:val="29"/>
    <w:pPr>
      <w:pBdr/>
      <w:spacing/>
      <w:ind/>
    </w:pPr>
    <w:rPr>
      <w:i/>
      <w:iCs/>
      <w:color w:val="000000" w:themeColor="text1"/>
    </w:rPr>
  </w:style>
  <w:style w:type="character" w:styleId="1016" w:customStyle="1">
    <w:name w:val="Heading 4 Char"/>
    <w:basedOn w:val="982"/>
    <w:link w:val="976"/>
    <w:uiPriority w:val="9"/>
    <w:semiHidden/>
    <w:pPr>
      <w:pBdr/>
      <w:spacing/>
      <w:ind/>
    </w:pPr>
    <w:rPr>
      <w:rFonts w:asciiTheme="majorHAnsi" w:hAnsiTheme="majorHAnsi" w:eastAsiaTheme="majorEastAsia" w:cstheme="majorBidi"/>
      <w:b/>
      <w:bCs/>
      <w:i/>
      <w:iCs/>
      <w:color w:val="4f81bd" w:themeColor="accent1"/>
    </w:rPr>
  </w:style>
  <w:style w:type="character" w:styleId="1017" w:customStyle="1">
    <w:name w:val="Heading 5 Char"/>
    <w:basedOn w:val="982"/>
    <w:link w:val="977"/>
    <w:uiPriority w:val="9"/>
    <w:semiHidden/>
    <w:pPr>
      <w:pBdr/>
      <w:spacing/>
      <w:ind/>
    </w:pPr>
    <w:rPr>
      <w:rFonts w:asciiTheme="majorHAnsi" w:hAnsiTheme="majorHAnsi" w:eastAsiaTheme="majorEastAsia" w:cstheme="majorBidi"/>
      <w:color w:val="243f60" w:themeColor="accent1" w:themeShade="7F"/>
    </w:rPr>
  </w:style>
  <w:style w:type="character" w:styleId="1018" w:customStyle="1">
    <w:name w:val="Heading 6 Char"/>
    <w:basedOn w:val="982"/>
    <w:link w:val="978"/>
    <w:uiPriority w:val="9"/>
    <w:semiHidden/>
    <w:pPr>
      <w:pBdr/>
      <w:spacing/>
      <w:ind/>
    </w:pPr>
    <w:rPr>
      <w:rFonts w:asciiTheme="majorHAnsi" w:hAnsiTheme="majorHAnsi" w:eastAsiaTheme="majorEastAsia" w:cstheme="majorBidi"/>
      <w:i/>
      <w:iCs/>
      <w:color w:val="243f60" w:themeColor="accent1" w:themeShade="7F"/>
    </w:rPr>
  </w:style>
  <w:style w:type="character" w:styleId="1019" w:customStyle="1">
    <w:name w:val="Heading 7 Char"/>
    <w:basedOn w:val="982"/>
    <w:link w:val="979"/>
    <w:uiPriority w:val="9"/>
    <w:semiHidden/>
    <w:pPr>
      <w:pBdr/>
      <w:spacing/>
      <w:ind/>
    </w:pPr>
    <w:rPr>
      <w:rFonts w:asciiTheme="majorHAnsi" w:hAnsiTheme="majorHAnsi" w:eastAsiaTheme="majorEastAsia" w:cstheme="majorBidi"/>
      <w:i/>
      <w:iCs/>
      <w:color w:val="404040" w:themeColor="text1" w:themeTint="BF"/>
    </w:rPr>
  </w:style>
  <w:style w:type="character" w:styleId="1020" w:customStyle="1">
    <w:name w:val="Heading 8 Char"/>
    <w:basedOn w:val="982"/>
    <w:link w:val="980"/>
    <w:uiPriority w:val="9"/>
    <w:semiHidden/>
    <w:pPr>
      <w:pBdr/>
      <w:spacing/>
      <w:ind/>
    </w:pPr>
    <w:rPr>
      <w:rFonts w:asciiTheme="majorHAnsi" w:hAnsiTheme="majorHAnsi" w:eastAsiaTheme="majorEastAsia" w:cstheme="majorBidi"/>
      <w:color w:val="4f81bd" w:themeColor="accent1"/>
      <w:sz w:val="20"/>
      <w:szCs w:val="20"/>
    </w:rPr>
  </w:style>
  <w:style w:type="character" w:styleId="1021" w:customStyle="1">
    <w:name w:val="Heading 9 Char"/>
    <w:basedOn w:val="982"/>
    <w:link w:val="981"/>
    <w:uiPriority w:val="9"/>
    <w:semiHidden/>
    <w:pPr>
      <w:pBdr/>
      <w:spacing/>
      <w:ind/>
    </w:pPr>
    <w:rPr>
      <w:rFonts w:asciiTheme="majorHAnsi" w:hAnsiTheme="majorHAnsi" w:eastAsiaTheme="majorEastAsia" w:cstheme="majorBidi"/>
      <w:i/>
      <w:iCs/>
      <w:color w:val="404040" w:themeColor="text1" w:themeTint="BF"/>
      <w:sz w:val="20"/>
      <w:szCs w:val="20"/>
    </w:rPr>
  </w:style>
  <w:style w:type="paragraph" w:styleId="1022">
    <w:name w:val="Caption"/>
    <w:uiPriority w:val="35"/>
    <w:semiHidden/>
    <w:unhideWhenUsed/>
    <w:qFormat/>
    <w:pPr>
      <w:pBdr/>
      <w:spacing w:line="240" w:lineRule="auto"/>
      <w:ind/>
    </w:pPr>
    <w:rPr>
      <w:b/>
      <w:bCs/>
      <w:color w:val="4f81bd" w:themeColor="accent1"/>
      <w:sz w:val="18"/>
      <w:szCs w:val="18"/>
    </w:rPr>
  </w:style>
  <w:style w:type="character" w:styleId="1023">
    <w:name w:val="Strong"/>
    <w:basedOn w:val="982"/>
    <w:uiPriority w:val="22"/>
    <w:qFormat/>
    <w:pPr>
      <w:pBdr/>
      <w:spacing/>
      <w:ind/>
    </w:pPr>
    <w:rPr>
      <w:b/>
      <w:bCs/>
    </w:rPr>
  </w:style>
  <w:style w:type="character" w:styleId="1024">
    <w:name w:val="Emphasis"/>
    <w:basedOn w:val="982"/>
    <w:uiPriority w:val="20"/>
    <w:qFormat/>
    <w:pPr>
      <w:pBdr/>
      <w:spacing/>
      <w:ind/>
    </w:pPr>
    <w:rPr>
      <w:i/>
      <w:iCs/>
    </w:rPr>
  </w:style>
  <w:style w:type="paragraph" w:styleId="1025">
    <w:name w:val="Intense Quote"/>
    <w:link w:val="1026"/>
    <w:uiPriority w:val="30"/>
    <w:qFormat/>
    <w:pPr>
      <w:pBdr>
        <w:bottom w:val="single" w:color="4f81bd" w:themeColor="accent1" w:sz="4" w:space="4"/>
      </w:pBdr>
      <w:spacing w:after="280" w:before="200"/>
      <w:ind w:right="936" w:left="936"/>
    </w:pPr>
    <w:rPr>
      <w:b/>
      <w:bCs/>
      <w:i/>
      <w:iCs/>
      <w:color w:val="4f81bd" w:themeColor="accent1"/>
    </w:rPr>
  </w:style>
  <w:style w:type="character" w:styleId="1026" w:customStyle="1">
    <w:name w:val="Intense Quote Char"/>
    <w:basedOn w:val="982"/>
    <w:link w:val="1025"/>
    <w:uiPriority w:val="30"/>
    <w:pPr>
      <w:pBdr/>
      <w:spacing/>
      <w:ind/>
    </w:pPr>
    <w:rPr>
      <w:b/>
      <w:bCs/>
      <w:i/>
      <w:iCs/>
      <w:color w:val="4f81bd" w:themeColor="accent1"/>
    </w:rPr>
  </w:style>
  <w:style w:type="character" w:styleId="1027">
    <w:name w:val="Subtle Emphasis"/>
    <w:basedOn w:val="982"/>
    <w:uiPriority w:val="19"/>
    <w:qFormat/>
    <w:pPr>
      <w:pBdr/>
      <w:spacing/>
      <w:ind/>
    </w:pPr>
    <w:rPr>
      <w:i/>
      <w:iCs/>
      <w:color w:val="808080" w:themeColor="text1" w:themeTint="7F"/>
    </w:rPr>
  </w:style>
  <w:style w:type="character" w:styleId="1028">
    <w:name w:val="Intense Emphasis"/>
    <w:basedOn w:val="982"/>
    <w:uiPriority w:val="21"/>
    <w:qFormat/>
    <w:pPr>
      <w:pBdr/>
      <w:spacing/>
      <w:ind/>
    </w:pPr>
    <w:rPr>
      <w:b/>
      <w:bCs/>
      <w:i/>
      <w:iCs/>
      <w:color w:val="4f81bd" w:themeColor="accent1"/>
    </w:rPr>
  </w:style>
  <w:style w:type="character" w:styleId="1029">
    <w:name w:val="Subtle Reference"/>
    <w:basedOn w:val="982"/>
    <w:uiPriority w:val="31"/>
    <w:qFormat/>
    <w:pPr>
      <w:pBdr/>
      <w:spacing/>
      <w:ind/>
    </w:pPr>
    <w:rPr>
      <w:smallCaps/>
      <w:color w:val="c0504d" w:themeColor="accent2"/>
      <w:u w:val="single"/>
    </w:rPr>
  </w:style>
  <w:style w:type="character" w:styleId="1030">
    <w:name w:val="Intense Reference"/>
    <w:basedOn w:val="982"/>
    <w:uiPriority w:val="32"/>
    <w:qFormat/>
    <w:pPr>
      <w:pBdr/>
      <w:spacing/>
      <w:ind/>
    </w:pPr>
    <w:rPr>
      <w:b/>
      <w:bCs/>
      <w:smallCaps/>
      <w:color w:val="c0504d" w:themeColor="accent2"/>
      <w:spacing w:val="5"/>
      <w:u w:val="single"/>
    </w:rPr>
  </w:style>
  <w:style w:type="character" w:styleId="1031">
    <w:name w:val="Book Title"/>
    <w:basedOn w:val="982"/>
    <w:uiPriority w:val="33"/>
    <w:qFormat/>
    <w:pPr>
      <w:pBdr/>
      <w:spacing/>
      <w:ind/>
    </w:pPr>
    <w:rPr>
      <w:b/>
      <w:bCs/>
      <w:smallCaps/>
      <w:spacing w:val="5"/>
    </w:rPr>
  </w:style>
  <w:style w:type="paragraph" w:styleId="1032">
    <w:name w:val="TOC Heading"/>
    <w:uiPriority w:val="39"/>
    <w:semiHidden/>
    <w:unhideWhenUsed/>
    <w:qFormat/>
    <w:pPr>
      <w:pBdr/>
      <w:spacing/>
      <w:ind/>
      <w:outlineLvl w:val="9"/>
    </w:pPr>
  </w:style>
  <w:style w:type="table" w:styleId="1033">
    <w:name w:val="Table Grid"/>
    <w:basedOn w:val="983"/>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4">
    <w:name w:val="Light Shading"/>
    <w:basedOn w:val="983"/>
    <w:uiPriority w:val="60"/>
    <w:pPr>
      <w:pBdr/>
      <w:spacing w:after="0" w:line="240" w:lineRule="auto"/>
      <w:ind/>
    </w:pPr>
    <w:rPr>
      <w:color w:val="000000" w:themeColor="text1" w:themeShade="BF"/>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left w:val="none" w:color="000000" w:sz="4" w:space="0"/>
          <w:right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8" w:space="0"/>
          <w:left w:val="none" w:color="000000" w:sz="4" w:space="0"/>
          <w:bottom w:val="single" w:color="000000" w:themeColor="tex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5">
    <w:name w:val="Light Shading Accent 1"/>
    <w:basedOn w:val="983"/>
    <w:uiPriority w:val="60"/>
    <w:pPr>
      <w:pBdr/>
      <w:spacing w:after="0" w:line="240" w:lineRule="auto"/>
      <w:ind/>
    </w:pPr>
    <w:rPr>
      <w:color w:val="365f91" w:themeColor="accent1" w:themeShade="BF"/>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8" w:space="0"/>
          <w:left w:val="none" w:color="000000" w:sz="4" w:space="0"/>
          <w:bottom w:val="single" w:color="4f81bd" w:themeColor="accent1"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6">
    <w:name w:val="Light Shading Accent 2"/>
    <w:basedOn w:val="983"/>
    <w:uiPriority w:val="60"/>
    <w:pPr>
      <w:pBdr/>
      <w:spacing w:after="0" w:line="240" w:lineRule="auto"/>
      <w:ind/>
    </w:pPr>
    <w:rPr>
      <w:color w:val="943634" w:themeColor="accent2" w:themeShade="BF"/>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8" w:space="0"/>
          <w:left w:val="none" w:color="000000" w:sz="4" w:space="0"/>
          <w:bottom w:val="single" w:color="c0504d" w:themeColor="accent2"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7">
    <w:name w:val="Light Shading Accent 3"/>
    <w:basedOn w:val="983"/>
    <w:uiPriority w:val="60"/>
    <w:pPr>
      <w:pBdr/>
      <w:spacing w:after="0" w:line="240" w:lineRule="auto"/>
      <w:ind/>
    </w:pPr>
    <w:rPr>
      <w:color w:val="76923c" w:themeColor="accent3" w:themeShade="BF"/>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8" w:space="0"/>
          <w:left w:val="none" w:color="000000" w:sz="4" w:space="0"/>
          <w:bottom w:val="single" w:color="9bbb59" w:themeColor="accent3"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8">
    <w:name w:val="Light Shading Accent 4"/>
    <w:basedOn w:val="983"/>
    <w:uiPriority w:val="60"/>
    <w:pPr>
      <w:pBdr/>
      <w:spacing w:after="0" w:line="240" w:lineRule="auto"/>
      <w:ind/>
    </w:pPr>
    <w:rPr>
      <w:color w:val="5f497a" w:themeColor="accent4" w:themeShade="BF"/>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8" w:space="0"/>
          <w:left w:val="none" w:color="000000" w:sz="4" w:space="0"/>
          <w:bottom w:val="single" w:color="8064a2" w:themeColor="accent4"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39">
    <w:name w:val="Light Shading Accent 5"/>
    <w:basedOn w:val="983"/>
    <w:uiPriority w:val="60"/>
    <w:pPr>
      <w:pBdr/>
      <w:spacing w:after="0" w:line="240" w:lineRule="auto"/>
      <w:ind/>
    </w:pPr>
    <w:rPr>
      <w:color w:val="31849b" w:themeColor="accent5" w:themeShade="BF"/>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8" w:space="0"/>
          <w:left w:val="none" w:color="000000" w:sz="4" w:space="0"/>
          <w:bottom w:val="single" w:color="4bacc6" w:themeColor="accent5"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0">
    <w:name w:val="Light Shading Accent 6"/>
    <w:basedOn w:val="983"/>
    <w:uiPriority w:val="60"/>
    <w:pPr>
      <w:pBdr/>
      <w:spacing w:after="0" w:line="240" w:lineRule="auto"/>
      <w:ind/>
    </w:pPr>
    <w:rPr>
      <w:color w:val="e36c0a" w:themeColor="accent6" w:themeShade="BF"/>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8" w:space="0"/>
          <w:left w:val="none" w:color="000000" w:sz="4" w:space="0"/>
          <w:bottom w:val="single" w:color="f79646" w:themeColor="accent6" w:sz="8"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1">
    <w:name w:val="Light List"/>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2">
    <w:name w:val="Light List Accent 1"/>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3">
    <w:name w:val="Light List Accent 2"/>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4">
    <w:name w:val="Light List Accent 3"/>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5">
    <w:name w:val="Light List Accent 4"/>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6">
    <w:name w:val="Light List Accent 5"/>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7">
    <w:name w:val="Light List Accent 6"/>
    <w:basedOn w:val="983"/>
    <w:uiPriority w:val="61"/>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8">
    <w:name w:val="Light Grid"/>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tcBorders/>
    </w:tcPr>
    <w:tblStylePr w:type="band1Horz">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pPr>
        <w:pBdr/>
        <w:spacing/>
        <w:ind/>
      </w:pPr>
      <w:tblPr>
        <w:tblBorders/>
      </w:tblPr>
      <w:tcPr>
        <w:shd w:val="clear" w:color="auto" w:fill="c0c0c0" w:themeFill="text1" w:themeFillTint="3F"/>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Horz">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8" w:space="0"/>
          <w:left w:val="single" w:color="000000" w:themeColor="text1" w:sz="8" w:space="0"/>
          <w:bottom w:val="single" w:color="000000" w:themeColor="text1" w:sz="18" w:space="0"/>
          <w:right w:val="single" w:color="000000" w:themeColor="tex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000000" w:themeColor="text1" w:sz="6" w:space="0"/>
          <w:left w:val="single" w:color="000000" w:themeColor="text1" w:sz="8" w:space="0"/>
          <w:bottom w:val="single" w:color="000000" w:themeColor="text1" w:sz="8" w:space="0"/>
          <w:right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9">
    <w:name w:val="Light Grid Accent 1"/>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pPr>
        <w:pBdr/>
        <w:spacing/>
        <w:ind/>
      </w:pPr>
      <w:tblPr>
        <w:tblBorders/>
      </w:tblPr>
      <w:tcPr>
        <w:shd w:val="clear" w:color="auto" w:fill="d3dfee" w:themeFill="accent1" w:themeFillTint="3F"/>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Horz">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8" w:space="0"/>
          <w:left w:val="single" w:color="4f81bd" w:themeColor="accent1" w:sz="8" w:space="0"/>
          <w:bottom w:val="single" w:color="4f81bd" w:themeColor="accent1" w:sz="18" w:space="0"/>
          <w:right w:val="single" w:color="4f81bd" w:themeColor="accent1"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0">
    <w:name w:val="Light Grid Accent 2"/>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pPr>
        <w:pBdr/>
        <w:spacing/>
        <w:ind/>
      </w:pPr>
      <w:tblPr>
        <w:tblBorders/>
      </w:tblPr>
      <w:tcPr>
        <w:shd w:val="clear" w:color="auto" w:fill="efd3d2" w:themeFill="accent2" w:themeFillTint="3F"/>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Horz">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8" w:space="0"/>
          <w:left w:val="single" w:color="c0504d" w:themeColor="accent2" w:sz="8" w:space="0"/>
          <w:bottom w:val="single" w:color="c0504d" w:themeColor="accent2" w:sz="18" w:space="0"/>
          <w:right w:val="single" w:color="c0504d" w:themeColor="accent2" w:sz="8" w:space="0"/>
        </w:tcBorders>
      </w:tcPr>
    </w:tblStylePr>
    <w:tblStylePr w:type="lastCol">
      <w:rPr>
        <w:rFonts w:asciiTheme="majorHAnsi" w:hAnsiTheme="majorHAnsi" w:eastAsiaTheme="majorEastAsia" w:cstheme="majorBidi"/>
        <w:b/>
        <w:bCs/>
      </w:rPr>
      <w:pPr>
        <w:pBdr/>
        <w:spacing/>
        <w:ind/>
      </w:pPr>
      <w:tblPr>
        <w:tblBorders/>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1">
    <w:name w:val="Light Grid Accent 3"/>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pPr>
        <w:pBdr/>
        <w:spacing/>
        <w:ind/>
      </w:pPr>
      <w:tblPr>
        <w:tblBorders/>
      </w:tblPr>
      <w:tcPr>
        <w:shd w:val="clear" w:color="auto" w:fill="e6eed5" w:themeFill="accent3" w:themeFillTint="3F"/>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Horz">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8" w:space="0"/>
          <w:left w:val="single" w:color="9bbb59" w:themeColor="accent3" w:sz="8" w:space="0"/>
          <w:bottom w:val="single" w:color="9bbb59" w:themeColor="accent3" w:sz="18" w:space="0"/>
          <w:right w:val="single" w:color="9bbb59" w:themeColor="accent3" w:sz="8" w:space="0"/>
        </w:tcBorders>
      </w:tcPr>
    </w:tblStylePr>
    <w:tblStylePr w:type="lastCol">
      <w:rPr>
        <w:rFonts w:asciiTheme="majorHAnsi" w:hAnsiTheme="majorHAnsi" w:eastAsiaTheme="majorEastAsia" w:cstheme="majorBidi"/>
        <w:b/>
        <w:bCs/>
      </w:rPr>
      <w:pPr>
        <w:pBdr/>
        <w:spacing/>
        <w:ind/>
      </w:pPr>
      <w:tblPr>
        <w:tblBorders/>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2">
    <w:name w:val="Light Grid Accent 4"/>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pPr>
        <w:pBdr/>
        <w:spacing/>
        <w:ind/>
      </w:pPr>
      <w:tblPr>
        <w:tblBorders/>
      </w:tblPr>
      <w:tcPr>
        <w:shd w:val="clear" w:color="auto" w:fill="dfd8e8" w:themeFill="accent4" w:themeFillTint="3F"/>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Horz">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8" w:space="0"/>
          <w:left w:val="single" w:color="8064a2" w:themeColor="accent4" w:sz="8" w:space="0"/>
          <w:bottom w:val="single" w:color="8064a2" w:themeColor="accent4" w:sz="18" w:space="0"/>
          <w:right w:val="single" w:color="8064a2" w:themeColor="accent4" w:sz="8" w:space="0"/>
        </w:tcBorders>
      </w:tcPr>
    </w:tblStylePr>
    <w:tblStylePr w:type="lastCol">
      <w:rPr>
        <w:rFonts w:asciiTheme="majorHAnsi" w:hAnsiTheme="majorHAnsi" w:eastAsiaTheme="majorEastAsia" w:cstheme="majorBidi"/>
        <w:b/>
        <w:bCs/>
      </w:rPr>
      <w:pPr>
        <w:pBdr/>
        <w:spacing/>
        <w:ind/>
      </w:pPr>
      <w:tblPr>
        <w:tblBorders/>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3">
    <w:name w:val="Light Grid Accent 5"/>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pPr>
        <w:pBdr/>
        <w:spacing/>
        <w:ind/>
      </w:pPr>
      <w:tblPr>
        <w:tblBorders/>
      </w:tblPr>
      <w:tcPr>
        <w:shd w:val="clear" w:color="auto" w:fill="d2eaf1" w:themeFill="accent5" w:themeFillTint="3F"/>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Horz">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8" w:space="0"/>
          <w:left w:val="single" w:color="4bacc6" w:themeColor="accent5" w:sz="8" w:space="0"/>
          <w:bottom w:val="single" w:color="4bacc6" w:themeColor="accent5" w:sz="18" w:space="0"/>
          <w:right w:val="single" w:color="4bacc6" w:themeColor="accent5" w:sz="8" w:space="0"/>
        </w:tcBorders>
      </w:tcPr>
    </w:tblStylePr>
    <w:tblStylePr w:type="lastCol">
      <w:rPr>
        <w:rFonts w:asciiTheme="majorHAnsi" w:hAnsiTheme="majorHAnsi" w:eastAsiaTheme="majorEastAsia" w:cstheme="majorBidi"/>
        <w:b/>
        <w:bCs/>
      </w:rPr>
      <w:pPr>
        <w:pBdr/>
        <w:spacing/>
        <w:ind/>
      </w:pPr>
      <w:tblPr>
        <w:tblBorders/>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4">
    <w:name w:val="Light Grid Accent 6"/>
    <w:basedOn w:val="983"/>
    <w:uiPriority w:val="62"/>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pPr>
        <w:pBdr/>
        <w:spacing/>
        <w:ind/>
      </w:pPr>
      <w:tblPr>
        <w:tblBorders/>
      </w:tblPr>
      <w:tcPr>
        <w:shd w:val="clear" w:color="auto" w:fill="fde4d0" w:themeFill="accent6" w:themeFillTint="3F"/>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Horz">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2Vert">
      <w:pPr>
        <w:pBdr/>
        <w:spacing/>
        <w:ind/>
      </w:pPr>
      <w:tblPr>
        <w:tblBorders/>
      </w:tblPr>
      <w:tcPr>
        <w:tcBorders/>
      </w:tcPr>
    </w:tblStylePr>
    <w:tblStylePr w:type="firstCol">
      <w:rPr>
        <w:rFonts w:asciiTheme="majorHAnsi" w:hAnsiTheme="majorHAnsi" w:eastAsiaTheme="majorEastAsia" w:cstheme="majorBidi"/>
        <w:b/>
        <w:bCs/>
      </w:rPr>
      <w:pPr>
        <w:pBdr/>
        <w:spacing/>
        <w:ind/>
      </w:pPr>
      <w:tblPr>
        <w:tblBorders/>
      </w:tblPr>
      <w:tcPr>
        <w:tcBorders/>
      </w:tcPr>
    </w:tblStylePr>
    <w:tblStylePr w:type="fir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8" w:space="0"/>
          <w:left w:val="single" w:color="f79646" w:themeColor="accent6" w:sz="8" w:space="0"/>
          <w:bottom w:val="single" w:color="f79646" w:themeColor="accent6" w:sz="18" w:space="0"/>
          <w:right w:val="single" w:color="f79646" w:themeColor="accent6" w:sz="8" w:space="0"/>
        </w:tcBorders>
      </w:tcPr>
    </w:tblStylePr>
    <w:tblStylePr w:type="lastCol">
      <w:rPr>
        <w:rFonts w:asciiTheme="majorHAnsi" w:hAnsiTheme="majorHAnsi" w:eastAsiaTheme="majorEastAsia" w:cstheme="majorBidi"/>
        <w:b/>
        <w:bCs/>
      </w:rPr>
      <w:pPr>
        <w:pBdr/>
        <w:spacing/>
        <w:ind/>
      </w:pPr>
      <w:tblPr>
        <w:tblBorders/>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lastRow">
      <w:rPr>
        <w:rFonts w:asciiTheme="majorHAnsi" w:hAnsiTheme="majorHAnsi" w:eastAsiaTheme="majorEastAsia" w:cstheme="majorBidi"/>
        <w:b/>
        <w:bCs/>
      </w:rPr>
      <w:pPr>
        <w:pBdr/>
        <w:spacing w:after="0" w:before="0" w:line="240" w:lineRule="auto"/>
        <w:ind/>
      </w:pPr>
      <w:tblPr>
        <w:tblBorders/>
      </w:tblPr>
      <w:tcPr>
        <w:tcBorders>
          <w:top w:val="sing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5">
    <w:name w:val="Medium Shading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6">
    <w:name w:val="Medium Shading 1 Accent 1"/>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7">
    <w:name w:val="Medium Shading 1 Accent 2"/>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8">
    <w:name w:val="Medium Shading 1 Accent 3"/>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9">
    <w:name w:val="Medium Shading 1 Accent 4"/>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0">
    <w:name w:val="Medium Shading 1 Accent 5"/>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1">
    <w:name w:val="Medium Shading 1 Accent 6"/>
    <w:basedOn w:val="983"/>
    <w:uiPriority w:val="63"/>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lastCol">
      <w:rPr>
        <w:b/>
        <w:bCs/>
      </w:rPr>
      <w:pPr>
        <w:pBdr/>
        <w:spacing/>
        <w:ind/>
      </w:pPr>
      <w:tblPr>
        <w:tblBorders/>
      </w:tblPr>
      <w:tcPr>
        <w:tcBorders/>
      </w:tcPr>
    </w:tblStylePr>
    <w:tblStylePr w:type="lastRow">
      <w:rPr>
        <w:b/>
        <w:bCs/>
      </w:rPr>
      <w:pPr>
        <w:pBdr/>
        <w:spacing w:after="0" w:before="0" w:line="240" w:lineRule="auto"/>
        <w:ind/>
      </w:pPr>
      <w:tblPr>
        <w:tblBorders/>
      </w:tblPr>
      <w:tcPr>
        <w:tcBorders>
          <w:top w:val="sing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2">
    <w:name w:val="Medium Shading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000000" w:themeFill="tex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000000" w:themeFill="tex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000000" w:themeFill="tex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3">
    <w:name w:val="Medium Shading 2 Accent 1"/>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f81bd" w:themeFill="accent1"/>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f81bd" w:themeFill="accent1"/>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f81bd" w:themeFill="accent1"/>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4">
    <w:name w:val="Medium Shading 2 Accent 2"/>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c0504d" w:themeFill="accent2"/>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c0504d" w:themeFill="accent2"/>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c0504d" w:themeFill="accent2"/>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5">
    <w:name w:val="Medium Shading 2 Accent 3"/>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9bbb59" w:themeFill="accent3"/>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9bbb59" w:themeFill="accent3"/>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9bbb59" w:themeFill="accent3"/>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6">
    <w:name w:val="Medium Shading 2 Accent 4"/>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8064a2" w:themeFill="accent4"/>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8064a2" w:themeFill="accent4"/>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8064a2" w:themeFill="accent4"/>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7">
    <w:name w:val="Medium Shading 2 Accent 5"/>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4bacc6" w:themeFill="accent5"/>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4bacc6" w:themeFill="accent5"/>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4bacc6" w:themeFill="accent5"/>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8">
    <w:name w:val="Medium Shading 2 Accent 6"/>
    <w:basedOn w:val="983"/>
    <w:uiPriority w:val="64"/>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000000" w:sz="18" w:space="0"/>
        <w:bottom w:val="single" w:color="000000" w:sz="18" w:space="0"/>
      </w:tblBorders>
    </w:tblPr>
    <w:tcPr>
      <w:tcBorders/>
    </w:tcPr>
    <w:tblStylePr w:type="band1Horz">
      <w:pPr>
        <w:pBdr/>
        <w:spacing/>
        <w:ind/>
      </w:pPr>
      <w:tblPr>
        <w:tblBorders/>
      </w:tblPr>
      <w:tcPr>
        <w:shd w:val="clear" w:color="auto" w:fill="d8d8d8" w:themeFill="background1" w:themeFillShade="D8"/>
        <w:tcBorders/>
      </w:tcPr>
    </w:tblStylePr>
    <w:tblStylePr w:type="band1Vert">
      <w:pPr>
        <w:pBdr/>
        <w:spacing/>
        <w:ind/>
      </w:pPr>
      <w:tblPr>
        <w:tblBorders/>
      </w:tblPr>
      <w:tcPr>
        <w:shd w:val="clear" w:color="auto" w:fill="d8d8d8" w:themeFill="background1" w:themeFillShade="D8"/>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ffffff" w:themeColor="background1"/>
      </w:rPr>
      <w:pPr>
        <w:pBdr/>
        <w:spacing/>
        <w:ind/>
      </w:pPr>
      <w:tblPr>
        <w:tblBorders/>
      </w:tblPr>
      <w:tcPr>
        <w:shd w:val="clear" w:color="auto" w:fill="f79646" w:themeFill="accent6"/>
        <w:tcBorders>
          <w:top w:val="none" w:color="000000" w:sz="4" w:space="0"/>
          <w:left w:val="none" w:color="000000" w:sz="4" w:space="0"/>
          <w:bottom w:val="single" w:color="000000" w:sz="18" w:space="0"/>
          <w:right w:val="none" w:color="000000" w:sz="4" w:space="0"/>
        </w:tcBorders>
      </w:tcPr>
    </w:tblStylePr>
    <w:tblStylePr w:type="firstRow">
      <w:rPr>
        <w:b/>
        <w:bCs/>
        <w:color w:val="ffffff" w:themeColor="background1"/>
      </w:rPr>
      <w:pPr>
        <w:pBdr/>
        <w:spacing w:after="0" w:before="0" w:line="240" w:lineRule="auto"/>
        <w:ind/>
      </w:pPr>
      <w:tblPr>
        <w:tblBorders/>
      </w:tblPr>
      <w:tcPr>
        <w:shd w:val="clear" w:color="auto" w:fill="f79646" w:themeFill="accent6"/>
        <w:tcBorders>
          <w:top w:val="single" w:color="000000" w:sz="18" w:space="0"/>
          <w:left w:val="none" w:color="000000" w:sz="4" w:space="0"/>
          <w:bottom w:val="single" w:color="000000" w:sz="18" w:space="0"/>
          <w:right w:val="none" w:color="000000" w:sz="4" w:space="0"/>
        </w:tcBorders>
      </w:tcPr>
    </w:tblStylePr>
    <w:tblStylePr w:type="lastCol">
      <w:rPr>
        <w:b/>
        <w:bCs/>
        <w:color w:val="ffffff" w:themeColor="background1"/>
      </w:rPr>
      <w:pPr>
        <w:pBdr/>
        <w:spacing/>
        <w:ind/>
      </w:pPr>
      <w:tblPr>
        <w:tblBorders/>
      </w:tblPr>
      <w:tcPr>
        <w:shd w:val="clear" w:color="auto" w:fill="f79646" w:themeFill="accent6"/>
        <w:tcBorders>
          <w:left w:val="none" w:color="000000" w:sz="4" w:space="0"/>
          <w:right w:val="none" w:color="000000" w:sz="4" w:space="0"/>
        </w:tcBorders>
      </w:tcPr>
    </w:tblStylePr>
    <w:tblStylePr w:type="lastRow">
      <w:rPr>
        <w:color w:val="auto"/>
      </w:rPr>
      <w:pPr>
        <w:pBdr/>
        <w:spacing w:after="0" w:before="0" w:line="240" w:lineRule="auto"/>
        <w:ind/>
      </w:pPr>
      <w:tblPr>
        <w:tblBorders/>
      </w:tblPr>
      <w:tcPr>
        <w:shd w:val="clear" w:color="auto" w:fill="ffffff" w:themeFill="background1"/>
        <w:tcBorders>
          <w:top w:val="single" w:color="000000" w:sz="6" w:space="0"/>
          <w:left w:val="none" w:color="000000" w:sz="4" w:space="0"/>
          <w:bottom w:val="single" w:color="000000" w:sz="18" w:space="0"/>
          <w:right w:val="none" w:color="000000" w:sz="4" w:space="0"/>
        </w:tcBorders>
      </w:tcPr>
    </w:tblStylePr>
    <w:tblStylePr w:type="nwCell">
      <w:rPr>
        <w:color w:val="ffffff" w:themeColor="background1"/>
      </w:rPr>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neCell">
      <w:pPr>
        <w:pBdr/>
        <w:spacing/>
        <w:ind/>
      </w:pPr>
      <w:tblPr>
        <w:tblBorders/>
      </w:tblPr>
      <w:tcPr>
        <w:tcBorders>
          <w:top w:val="single" w:color="000000" w:sz="18" w:space="0"/>
          <w:left w:val="none" w:color="000000" w:sz="4" w:space="0"/>
          <w:bottom w:val="single" w:color="000000" w:sz="18" w:space="0"/>
          <w:right w:val="none" w:color="000000" w:sz="4" w:space="0"/>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9">
    <w:name w:val="Medium Lis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bottom w:val="single" w:color="000000" w:themeColor="text1" w:sz="8" w:space="0"/>
      </w:tblBorders>
    </w:tblPr>
    <w:tcPr>
      <w:tcBorders/>
    </w:tcPr>
    <w:tblStylePr w:type="band1Horz">
      <w:pPr>
        <w:pBdr/>
        <w:spacing/>
        <w:ind/>
      </w:pPr>
      <w:tblPr>
        <w:tblBorders/>
      </w:tblPr>
      <w:tcPr>
        <w:shd w:val="clear" w:color="auto" w:fill="c0c0c0" w:themeFill="text1" w:themeFillTint="3F"/>
        <w:tcBorders/>
      </w:tcPr>
    </w:tblStylePr>
    <w:tblStylePr w:type="band1Vert">
      <w:pPr>
        <w:pBdr/>
        <w:spacing/>
        <w:ind/>
      </w:pPr>
      <w:tblPr>
        <w:tblBorders/>
      </w:tblPr>
      <w:tcPr>
        <w:shd w:val="clear" w:color="auto" w:fill="c0c0c0" w:themeFill="tex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000000" w:themeColor="text1" w:sz="8" w:space="0"/>
        </w:tcBorders>
      </w:tcPr>
    </w:tblStylePr>
    <w:tblStylePr w:type="lastCol">
      <w:rPr>
        <w:b/>
        <w:bCs/>
      </w:rPr>
      <w:pPr>
        <w:pBdr/>
        <w:spacing/>
        <w:ind/>
      </w:pPr>
      <w:tblPr>
        <w:tblBorders/>
      </w:tblPr>
      <w:tcPr>
        <w:tcBorders>
          <w:top w:val="single" w:color="000000" w:themeColor="text1" w:sz="8" w:space="0"/>
          <w:bottom w:val="single" w:color="000000" w:themeColor="text1" w:sz="8" w:space="0"/>
        </w:tcBorders>
      </w:tcPr>
    </w:tblStylePr>
    <w:tblStylePr w:type="lastRow">
      <w:rPr>
        <w:b/>
        <w:bCs/>
        <w:color w:val="1f497d" w:themeColor="text2"/>
      </w:rPr>
      <w:pPr>
        <w:pBdr/>
        <w:spacing/>
        <w:ind/>
      </w:pPr>
      <w:tblPr>
        <w:tblBorders/>
      </w:tblPr>
      <w:tcPr>
        <w:tcBorders>
          <w:top w:val="single" w:color="000000" w:themeColor="text1" w:sz="8" w:space="0"/>
          <w:bottom w:val="single" w:color="000000" w:themeColor="tex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0">
    <w:name w:val="Medium List 1 Accent 1"/>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bottom w:val="single" w:color="4f81bd" w:themeColor="accent1" w:sz="8" w:space="0"/>
      </w:tblBorders>
    </w:tblPr>
    <w:tcPr>
      <w:tcBorders/>
    </w:tcPr>
    <w:tblStylePr w:type="band1Horz">
      <w:pPr>
        <w:pBdr/>
        <w:spacing/>
        <w:ind/>
      </w:pPr>
      <w:tblPr>
        <w:tblBorders/>
      </w:tblPr>
      <w:tcPr>
        <w:shd w:val="clear" w:color="auto" w:fill="d3dfee" w:themeFill="accent1" w:themeFillTint="3F"/>
        <w:tcBorders/>
      </w:tcPr>
    </w:tblStylePr>
    <w:tblStylePr w:type="band1Vert">
      <w:pPr>
        <w:pBdr/>
        <w:spacing/>
        <w:ind/>
      </w:pPr>
      <w:tblPr>
        <w:tblBorders/>
      </w:tblPr>
      <w:tcPr>
        <w:shd w:val="clear" w:color="auto" w:fill="d3dfee" w:themeFill="accent1"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f81bd" w:themeColor="accent1" w:sz="8" w:space="0"/>
        </w:tcBorders>
      </w:tcPr>
    </w:tblStylePr>
    <w:tblStylePr w:type="lastCol">
      <w:rPr>
        <w:b/>
        <w:bCs/>
      </w:rPr>
      <w:pPr>
        <w:pBdr/>
        <w:spacing/>
        <w:ind/>
      </w:pPr>
      <w:tblPr>
        <w:tblBorders/>
      </w:tblPr>
      <w:tcPr>
        <w:tcBorders>
          <w:top w:val="single" w:color="4f81bd" w:themeColor="accent1" w:sz="8" w:space="0"/>
          <w:bottom w:val="single" w:color="4f81bd" w:themeColor="accent1" w:sz="8" w:space="0"/>
        </w:tcBorders>
      </w:tcPr>
    </w:tblStylePr>
    <w:tblStylePr w:type="lastRow">
      <w:rPr>
        <w:b/>
        <w:bCs/>
        <w:color w:val="1f497d" w:themeColor="text2"/>
      </w:rPr>
      <w:pPr>
        <w:pBdr/>
        <w:spacing/>
        <w:ind/>
      </w:pPr>
      <w:tblPr>
        <w:tblBorders/>
      </w:tblPr>
      <w:tcPr>
        <w:tcBorders>
          <w:top w:val="single" w:color="4f81bd" w:themeColor="accent1" w:sz="8" w:space="0"/>
          <w:bottom w:val="single" w:color="4f81bd" w:themeColor="accent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1">
    <w:name w:val="Medium List 1 Accent 2"/>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bottom w:val="single" w:color="c0504d" w:themeColor="accent2" w:sz="8" w:space="0"/>
      </w:tblBorders>
    </w:tblPr>
    <w:tcPr>
      <w:tcBorders/>
    </w:tcPr>
    <w:tblStylePr w:type="band1Horz">
      <w:pPr>
        <w:pBdr/>
        <w:spacing/>
        <w:ind/>
      </w:pPr>
      <w:tblPr>
        <w:tblBorders/>
      </w:tblPr>
      <w:tcPr>
        <w:shd w:val="clear" w:color="auto" w:fill="efd3d2" w:themeFill="accent2" w:themeFillTint="3F"/>
        <w:tcBorders/>
      </w:tcPr>
    </w:tblStylePr>
    <w:tblStylePr w:type="band1Vert">
      <w:pPr>
        <w:pBdr/>
        <w:spacing/>
        <w:ind/>
      </w:pPr>
      <w:tblPr>
        <w:tblBorders/>
      </w:tblPr>
      <w:tcPr>
        <w:shd w:val="clear" w:color="auto" w:fill="efd3d2" w:themeFill="accent2"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c0504d" w:themeColor="accent2" w:sz="8" w:space="0"/>
        </w:tcBorders>
      </w:tcPr>
    </w:tblStylePr>
    <w:tblStylePr w:type="lastCol">
      <w:rPr>
        <w:b/>
        <w:bCs/>
      </w:rPr>
      <w:pPr>
        <w:pBdr/>
        <w:spacing/>
        <w:ind/>
      </w:pPr>
      <w:tblPr>
        <w:tblBorders/>
      </w:tblPr>
      <w:tcPr>
        <w:tcBorders>
          <w:top w:val="single" w:color="c0504d" w:themeColor="accent2" w:sz="8" w:space="0"/>
          <w:bottom w:val="single" w:color="c0504d" w:themeColor="accent2" w:sz="8" w:space="0"/>
        </w:tcBorders>
      </w:tcPr>
    </w:tblStylePr>
    <w:tblStylePr w:type="lastRow">
      <w:rPr>
        <w:b/>
        <w:bCs/>
        <w:color w:val="1f497d" w:themeColor="text2"/>
      </w:rPr>
      <w:pPr>
        <w:pBdr/>
        <w:spacing/>
        <w:ind/>
      </w:pPr>
      <w:tblPr>
        <w:tblBorders/>
      </w:tblPr>
      <w:tcPr>
        <w:tcBorders>
          <w:top w:val="single" w:color="c0504d" w:themeColor="accent2" w:sz="8" w:space="0"/>
          <w:bottom w:val="single" w:color="c0504d" w:themeColor="accent2"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2">
    <w:name w:val="Medium List 1 Accent 3"/>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bottom w:val="single" w:color="9bbb59" w:themeColor="accent3" w:sz="8" w:space="0"/>
      </w:tblBorders>
    </w:tblPr>
    <w:tcPr>
      <w:tcBorders/>
    </w:tcPr>
    <w:tblStylePr w:type="band1Horz">
      <w:pPr>
        <w:pBdr/>
        <w:spacing/>
        <w:ind/>
      </w:pPr>
      <w:tblPr>
        <w:tblBorders/>
      </w:tblPr>
      <w:tcPr>
        <w:shd w:val="clear" w:color="auto" w:fill="e6eed5" w:themeFill="accent3" w:themeFillTint="3F"/>
        <w:tcBorders/>
      </w:tcPr>
    </w:tblStylePr>
    <w:tblStylePr w:type="band1Vert">
      <w:pPr>
        <w:pBdr/>
        <w:spacing/>
        <w:ind/>
      </w:pPr>
      <w:tblPr>
        <w:tblBorders/>
      </w:tblPr>
      <w:tcPr>
        <w:shd w:val="clear" w:color="auto" w:fill="e6eed5" w:themeFill="accent3"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9bbb59" w:themeColor="accent3" w:sz="8" w:space="0"/>
        </w:tcBorders>
      </w:tcPr>
    </w:tblStylePr>
    <w:tblStylePr w:type="lastCol">
      <w:rPr>
        <w:b/>
        <w:bCs/>
      </w:rPr>
      <w:pPr>
        <w:pBdr/>
        <w:spacing/>
        <w:ind/>
      </w:pPr>
      <w:tblPr>
        <w:tblBorders/>
      </w:tblPr>
      <w:tcPr>
        <w:tcBorders>
          <w:top w:val="single" w:color="9bbb59" w:themeColor="accent3" w:sz="8" w:space="0"/>
          <w:bottom w:val="single" w:color="9bbb59" w:themeColor="accent3" w:sz="8" w:space="0"/>
        </w:tcBorders>
      </w:tcPr>
    </w:tblStylePr>
    <w:tblStylePr w:type="lastRow">
      <w:rPr>
        <w:b/>
        <w:bCs/>
        <w:color w:val="1f497d" w:themeColor="text2"/>
      </w:rPr>
      <w:pPr>
        <w:pBdr/>
        <w:spacing/>
        <w:ind/>
      </w:pPr>
      <w:tblPr>
        <w:tblBorders/>
      </w:tblPr>
      <w:tcPr>
        <w:tcBorders>
          <w:top w:val="single" w:color="9bbb59" w:themeColor="accent3" w:sz="8" w:space="0"/>
          <w:bottom w:val="single" w:color="9bbb59" w:themeColor="accent3"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3">
    <w:name w:val="Medium List 1 Accent 4"/>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bottom w:val="single" w:color="8064a2" w:themeColor="accent4" w:sz="8" w:space="0"/>
      </w:tblBorders>
    </w:tblPr>
    <w:tcPr>
      <w:tcBorders/>
    </w:tcPr>
    <w:tblStylePr w:type="band1Horz">
      <w:pPr>
        <w:pBdr/>
        <w:spacing/>
        <w:ind/>
      </w:pPr>
      <w:tblPr>
        <w:tblBorders/>
      </w:tblPr>
      <w:tcPr>
        <w:shd w:val="clear" w:color="auto" w:fill="dfd8e8" w:themeFill="accent4" w:themeFillTint="3F"/>
        <w:tcBorders/>
      </w:tcPr>
    </w:tblStylePr>
    <w:tblStylePr w:type="band1Vert">
      <w:pPr>
        <w:pBdr/>
        <w:spacing/>
        <w:ind/>
      </w:pPr>
      <w:tblPr>
        <w:tblBorders/>
      </w:tblPr>
      <w:tcPr>
        <w:shd w:val="clear" w:color="auto" w:fill="dfd8e8" w:themeFill="accent4"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8064a2" w:themeColor="accent4" w:sz="8" w:space="0"/>
        </w:tcBorders>
      </w:tcPr>
    </w:tblStylePr>
    <w:tblStylePr w:type="lastCol">
      <w:rPr>
        <w:b/>
        <w:bCs/>
      </w:rPr>
      <w:pPr>
        <w:pBdr/>
        <w:spacing/>
        <w:ind/>
      </w:pPr>
      <w:tblPr>
        <w:tblBorders/>
      </w:tblPr>
      <w:tcPr>
        <w:tcBorders>
          <w:top w:val="single" w:color="8064a2" w:themeColor="accent4" w:sz="8" w:space="0"/>
          <w:bottom w:val="single" w:color="8064a2" w:themeColor="accent4" w:sz="8" w:space="0"/>
        </w:tcBorders>
      </w:tcPr>
    </w:tblStylePr>
    <w:tblStylePr w:type="lastRow">
      <w:rPr>
        <w:b/>
        <w:bCs/>
        <w:color w:val="1f497d" w:themeColor="text2"/>
      </w:rPr>
      <w:pPr>
        <w:pBdr/>
        <w:spacing/>
        <w:ind/>
      </w:pPr>
      <w:tblPr>
        <w:tblBorders/>
      </w:tblPr>
      <w:tcPr>
        <w:tcBorders>
          <w:top w:val="single" w:color="8064a2" w:themeColor="accent4" w:sz="8" w:space="0"/>
          <w:bottom w:val="single" w:color="8064a2" w:themeColor="accent4"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4">
    <w:name w:val="Medium List 1 Accent 5"/>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bottom w:val="single" w:color="4bacc6" w:themeColor="accent5" w:sz="8" w:space="0"/>
      </w:tblBorders>
    </w:tblPr>
    <w:tcPr>
      <w:tcBorders/>
    </w:tcPr>
    <w:tblStylePr w:type="band1Horz">
      <w:pPr>
        <w:pBdr/>
        <w:spacing/>
        <w:ind/>
      </w:pPr>
      <w:tblPr>
        <w:tblBorders/>
      </w:tblPr>
      <w:tcPr>
        <w:shd w:val="clear" w:color="auto" w:fill="d2eaf1" w:themeFill="accent5" w:themeFillTint="3F"/>
        <w:tcBorders/>
      </w:tcPr>
    </w:tblStylePr>
    <w:tblStylePr w:type="band1Vert">
      <w:pPr>
        <w:pBdr/>
        <w:spacing/>
        <w:ind/>
      </w:pPr>
      <w:tblPr>
        <w:tblBorders/>
      </w:tblPr>
      <w:tcPr>
        <w:shd w:val="clear" w:color="auto" w:fill="d2eaf1" w:themeFill="accent5"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4bacc6" w:themeColor="accent5" w:sz="8" w:space="0"/>
        </w:tcBorders>
      </w:tcPr>
    </w:tblStylePr>
    <w:tblStylePr w:type="lastCol">
      <w:rPr>
        <w:b/>
        <w:bCs/>
      </w:rPr>
      <w:pPr>
        <w:pBdr/>
        <w:spacing/>
        <w:ind/>
      </w:pPr>
      <w:tblPr>
        <w:tblBorders/>
      </w:tblPr>
      <w:tcPr>
        <w:tcBorders>
          <w:top w:val="single" w:color="4bacc6" w:themeColor="accent5" w:sz="8" w:space="0"/>
          <w:bottom w:val="single" w:color="4bacc6" w:themeColor="accent5" w:sz="8" w:space="0"/>
        </w:tcBorders>
      </w:tcPr>
    </w:tblStylePr>
    <w:tblStylePr w:type="lastRow">
      <w:rPr>
        <w:b/>
        <w:bCs/>
        <w:color w:val="1f497d" w:themeColor="text2"/>
      </w:rPr>
      <w:pPr>
        <w:pBdr/>
        <w:spacing/>
        <w:ind/>
      </w:pPr>
      <w:tblPr>
        <w:tblBorders/>
      </w:tblPr>
      <w:tcPr>
        <w:tcBorders>
          <w:top w:val="single" w:color="4bacc6" w:themeColor="accent5" w:sz="8" w:space="0"/>
          <w:bottom w:val="single" w:color="4bacc6" w:themeColor="accent5"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5">
    <w:name w:val="Medium List 1 Accent 6"/>
    <w:basedOn w:val="983"/>
    <w:uiPriority w:val="65"/>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bottom w:val="single" w:color="f79646" w:themeColor="accent6" w:sz="8" w:space="0"/>
      </w:tblBorders>
    </w:tblPr>
    <w:tcPr>
      <w:tcBorders/>
    </w:tcPr>
    <w:tblStylePr w:type="band1Horz">
      <w:pPr>
        <w:pBdr/>
        <w:spacing/>
        <w:ind/>
      </w:pPr>
      <w:tblPr>
        <w:tblBorders/>
      </w:tblPr>
      <w:tcPr>
        <w:shd w:val="clear" w:color="auto" w:fill="fde4d0" w:themeFill="accent6" w:themeFillTint="3F"/>
        <w:tcBorders/>
      </w:tcPr>
    </w:tblStylePr>
    <w:tblStylePr w:type="band1Vert">
      <w:pPr>
        <w:pBdr/>
        <w:spacing/>
        <w:ind/>
      </w:pPr>
      <w:tblPr>
        <w:tblBorders/>
      </w:tblPr>
      <w:tcPr>
        <w:shd w:val="clear" w:color="auto" w:fill="fde4d0" w:themeFill="accent6" w:themeFillTint="3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rFonts w:asciiTheme="majorHAnsi" w:hAnsiTheme="majorHAnsi" w:eastAsiaTheme="majorEastAsia" w:cstheme="majorBidi"/>
      </w:rPr>
      <w:pPr>
        <w:pBdr/>
        <w:spacing/>
        <w:ind/>
      </w:pPr>
      <w:tblPr>
        <w:tblBorders/>
      </w:tblPr>
      <w:tcPr>
        <w:tcBorders>
          <w:top w:val="none" w:color="000000" w:sz="4" w:space="0"/>
          <w:bottom w:val="single" w:color="f79646" w:themeColor="accent6" w:sz="8" w:space="0"/>
        </w:tcBorders>
      </w:tcPr>
    </w:tblStylePr>
    <w:tblStylePr w:type="lastCol">
      <w:rPr>
        <w:b/>
        <w:bCs/>
      </w:rPr>
      <w:pPr>
        <w:pBdr/>
        <w:spacing/>
        <w:ind/>
      </w:pPr>
      <w:tblPr>
        <w:tblBorders/>
      </w:tblPr>
      <w:tcPr>
        <w:tcBorders>
          <w:top w:val="single" w:color="f79646" w:themeColor="accent6" w:sz="8" w:space="0"/>
          <w:bottom w:val="single" w:color="f79646" w:themeColor="accent6" w:sz="8" w:space="0"/>
        </w:tcBorders>
      </w:tcPr>
    </w:tblStylePr>
    <w:tblStylePr w:type="lastRow">
      <w:rPr>
        <w:b/>
        <w:bCs/>
        <w:color w:val="1f497d" w:themeColor="text2"/>
      </w:rPr>
      <w:pPr>
        <w:pBdr/>
        <w:spacing/>
        <w:ind/>
      </w:pPr>
      <w:tblPr>
        <w:tblBorders/>
      </w:tblPr>
      <w:tcPr>
        <w:tcBorders>
          <w:top w:val="single" w:color="f79646" w:themeColor="accent6" w:sz="8" w:space="0"/>
          <w:bottom w:val="single" w:color="f79646" w:themeColor="accent6"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6">
    <w:name w:val="Medium Lis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tblBorders>
    </w:tblPr>
    <w:tcPr>
      <w:tcBorders/>
    </w:tcPr>
    <w:tblStylePr w:type="band1Horz">
      <w:pPr>
        <w:pBdr/>
        <w:spacing/>
        <w:ind/>
      </w:pPr>
      <w:tblPr>
        <w:tblBorders/>
      </w:tblPr>
      <w:tcPr>
        <w:shd w:val="clear" w:color="auto" w:fill="c0c0c0" w:themeFill="text1" w:themeFillTint="3F"/>
        <w:tcBorders>
          <w:top w:val="none" w:color="000000" w:sz="4" w:space="0"/>
          <w:bottom w:val="none" w:color="000000" w:sz="4" w:space="0"/>
        </w:tcBorders>
      </w:tcPr>
    </w:tblStylePr>
    <w:tblStylePr w:type="band1Vert">
      <w:pPr>
        <w:pBdr/>
        <w:spacing/>
        <w:ind/>
      </w:pPr>
      <w:tblPr>
        <w:tblBorders/>
      </w:tblPr>
      <w:tcPr>
        <w:shd w:val="clear" w:color="auto" w:fill="c0c0c0" w:themeFill="tex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000000" w:themeColor="tex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000000" w:themeColor="tex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000000" w:themeColor="tex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000000" w:themeColor="tex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7">
    <w:name w:val="Medium List 2 Accent 1"/>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cPr>
      <w:tcBorders/>
    </w:tcPr>
    <w:tblStylePr w:type="band1Horz">
      <w:pPr>
        <w:pBdr/>
        <w:spacing/>
        <w:ind/>
      </w:pPr>
      <w:tblPr>
        <w:tblBorders/>
      </w:tblPr>
      <w:tcPr>
        <w:shd w:val="clear" w:color="auto" w:fill="d3dfee" w:themeFill="accent1" w:themeFillTint="3F"/>
        <w:tcBorders>
          <w:top w:val="none" w:color="000000" w:sz="4" w:space="0"/>
          <w:bottom w:val="none" w:color="000000" w:sz="4" w:space="0"/>
        </w:tcBorders>
      </w:tcPr>
    </w:tblStylePr>
    <w:tblStylePr w:type="band1Vert">
      <w:pPr>
        <w:pBdr/>
        <w:spacing/>
        <w:ind/>
      </w:pPr>
      <w:tblPr>
        <w:tblBorders/>
      </w:tblPr>
      <w:tcPr>
        <w:shd w:val="clear" w:color="auto" w:fill="d3dfee" w:themeFill="accent1"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f81bd" w:themeColor="accent1"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f81bd" w:themeColor="accent1"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f81bd" w:themeColor="accent1"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f81bd" w:themeColor="accent1"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8">
    <w:name w:val="Medium List 2 Accent 2"/>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cPr>
      <w:tcBorders/>
    </w:tcPr>
    <w:tblStylePr w:type="band1Horz">
      <w:pPr>
        <w:pBdr/>
        <w:spacing/>
        <w:ind/>
      </w:pPr>
      <w:tblPr>
        <w:tblBorders/>
      </w:tblPr>
      <w:tcPr>
        <w:shd w:val="clear" w:color="auto" w:fill="efd3d2" w:themeFill="accent2" w:themeFillTint="3F"/>
        <w:tcBorders>
          <w:top w:val="none" w:color="000000" w:sz="4" w:space="0"/>
          <w:bottom w:val="none" w:color="000000" w:sz="4" w:space="0"/>
        </w:tcBorders>
      </w:tcPr>
    </w:tblStylePr>
    <w:tblStylePr w:type="band1Vert">
      <w:pPr>
        <w:pBdr/>
        <w:spacing/>
        <w:ind/>
      </w:pPr>
      <w:tblPr>
        <w:tblBorders/>
      </w:tblPr>
      <w:tcPr>
        <w:shd w:val="clear" w:color="auto" w:fill="efd3d2" w:themeFill="accent2"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c0504d" w:themeColor="accent2"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c0504d" w:themeColor="accent2"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c0504d" w:themeColor="accent2"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9">
    <w:name w:val="Medium List 2 Accent 3"/>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cPr>
      <w:tcBorders/>
    </w:tcPr>
    <w:tblStylePr w:type="band1Horz">
      <w:pPr>
        <w:pBdr/>
        <w:spacing/>
        <w:ind/>
      </w:pPr>
      <w:tblPr>
        <w:tblBorders/>
      </w:tblPr>
      <w:tcPr>
        <w:shd w:val="clear" w:color="auto" w:fill="e6eed5" w:themeFill="accent3" w:themeFillTint="3F"/>
        <w:tcBorders>
          <w:top w:val="none" w:color="000000" w:sz="4" w:space="0"/>
          <w:bottom w:val="none" w:color="000000" w:sz="4" w:space="0"/>
        </w:tcBorders>
      </w:tcPr>
    </w:tblStylePr>
    <w:tblStylePr w:type="band1Vert">
      <w:pPr>
        <w:pBdr/>
        <w:spacing/>
        <w:ind/>
      </w:pPr>
      <w:tblPr>
        <w:tblBorders/>
      </w:tblPr>
      <w:tcPr>
        <w:shd w:val="clear" w:color="auto" w:fill="e6eed5" w:themeFill="accent3"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9bbb59" w:themeColor="accent3"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9bbb59" w:themeColor="accent3"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9bbb59" w:themeColor="accent3"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0">
    <w:name w:val="Medium List 2 Accent 4"/>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cPr>
      <w:tcBorders/>
    </w:tcPr>
    <w:tblStylePr w:type="band1Horz">
      <w:pPr>
        <w:pBdr/>
        <w:spacing/>
        <w:ind/>
      </w:pPr>
      <w:tblPr>
        <w:tblBorders/>
      </w:tblPr>
      <w:tcPr>
        <w:shd w:val="clear" w:color="auto" w:fill="dfd8e8" w:themeFill="accent4" w:themeFillTint="3F"/>
        <w:tcBorders>
          <w:top w:val="none" w:color="000000" w:sz="4" w:space="0"/>
          <w:bottom w:val="none" w:color="000000" w:sz="4" w:space="0"/>
        </w:tcBorders>
      </w:tcPr>
    </w:tblStylePr>
    <w:tblStylePr w:type="band1Vert">
      <w:pPr>
        <w:pBdr/>
        <w:spacing/>
        <w:ind/>
      </w:pPr>
      <w:tblPr>
        <w:tblBorders/>
      </w:tblPr>
      <w:tcPr>
        <w:shd w:val="clear" w:color="auto" w:fill="dfd8e8" w:themeFill="accent4"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8064a2" w:themeColor="accent4"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8064a2" w:themeColor="accent4"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8064a2" w:themeColor="accent4"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1">
    <w:name w:val="Medium List 2 Accent 5"/>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cPr>
      <w:tcBorders/>
    </w:tcPr>
    <w:tblStylePr w:type="band1Horz">
      <w:pPr>
        <w:pBdr/>
        <w:spacing/>
        <w:ind/>
      </w:pPr>
      <w:tblPr>
        <w:tblBorders/>
      </w:tblPr>
      <w:tcPr>
        <w:shd w:val="clear" w:color="auto" w:fill="d2eaf1" w:themeFill="accent5" w:themeFillTint="3F"/>
        <w:tcBorders>
          <w:top w:val="none" w:color="000000" w:sz="4" w:space="0"/>
          <w:bottom w:val="none" w:color="000000" w:sz="4" w:space="0"/>
        </w:tcBorders>
      </w:tcPr>
    </w:tblStylePr>
    <w:tblStylePr w:type="band1Vert">
      <w:pPr>
        <w:pBdr/>
        <w:spacing/>
        <w:ind/>
      </w:pPr>
      <w:tblPr>
        <w:tblBorders/>
      </w:tblPr>
      <w:tcPr>
        <w:shd w:val="clear" w:color="auto" w:fill="d2eaf1" w:themeFill="accent5"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4bacc6" w:themeColor="accent5"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4bacc6" w:themeColor="accent5"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4bacc6" w:themeColor="accent5"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2">
    <w:name w:val="Medium List 2 Accent 6"/>
    <w:basedOn w:val="983"/>
    <w:uiPriority w:val="66"/>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cPr>
      <w:tcBorders/>
    </w:tcPr>
    <w:tblStylePr w:type="band1Horz">
      <w:pPr>
        <w:pBdr/>
        <w:spacing/>
        <w:ind/>
      </w:pPr>
      <w:tblPr>
        <w:tblBorders/>
      </w:tblPr>
      <w:tcPr>
        <w:shd w:val="clear" w:color="auto" w:fill="fde4d0" w:themeFill="accent6" w:themeFillTint="3F"/>
        <w:tcBorders>
          <w:top w:val="none" w:color="000000" w:sz="4" w:space="0"/>
          <w:bottom w:val="none" w:color="000000" w:sz="4" w:space="0"/>
        </w:tcBorders>
      </w:tcPr>
    </w:tblStylePr>
    <w:tblStylePr w:type="band1Vert">
      <w:pPr>
        <w:pBdr/>
        <w:spacing/>
        <w:ind/>
      </w:pPr>
      <w:tblPr>
        <w:tblBorders/>
      </w:tblPr>
      <w:tcPr>
        <w:shd w:val="clear" w:color="auto" w:fill="fde4d0" w:themeFill="accent6" w:themeFillTint="3F"/>
        <w:tcBorders>
          <w:left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ffffff" w:themeFill="background1"/>
        <w:tcBorders>
          <w:top w:val="none" w:color="000000" w:sz="4" w:space="0"/>
          <w:left w:val="none" w:color="000000" w:sz="4" w:space="0"/>
          <w:bottom w:val="none" w:color="000000" w:sz="4" w:space="0"/>
          <w:right w:val="single" w:color="f79646" w:themeColor="accent6" w:sz="8" w:space="0"/>
        </w:tcBorders>
      </w:tcPr>
    </w:tblStylePr>
    <w:tblStylePr w:type="firstRow">
      <w:rPr>
        <w:sz w:val="24"/>
        <w:szCs w:val="24"/>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pPr>
        <w:pBdr/>
        <w:spacing/>
        <w:ind/>
      </w:pPr>
      <w:tblPr>
        <w:tblBorders/>
      </w:tblPr>
      <w:tcPr>
        <w:shd w:val="clear" w:color="auto" w:fill="ffffff" w:themeFill="background1"/>
        <w:tcBorders>
          <w:top w:val="none" w:color="000000" w:sz="4" w:space="0"/>
          <w:left w:val="single" w:color="f79646" w:themeColor="accent6" w:sz="8" w:space="0"/>
          <w:bottom w:val="none" w:color="000000" w:sz="4" w:space="0"/>
          <w:right w:val="none" w:color="000000" w:sz="4" w:space="0"/>
        </w:tcBorders>
      </w:tcPr>
    </w:tblStylePr>
    <w:tblStylePr w:type="lastRow">
      <w:pPr>
        <w:pBdr/>
        <w:spacing/>
        <w:ind/>
      </w:pPr>
      <w:tblPr>
        <w:tblBorders/>
      </w:tblPr>
      <w:tcPr>
        <w:shd w:val="clear" w:color="auto" w:fill="ffffff" w:themeFill="background1"/>
        <w:tcBorders>
          <w:top w:val="single" w:color="f79646" w:themeColor="accent6" w:sz="8"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op w:val="none" w:color="000000" w:sz="4" w:space="0"/>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3">
    <w:name w:val="Medium Grid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404040" w:themeColor="tex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4">
    <w:name w:val="Medium Grid 1 Accent 1"/>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ba0cd" w:themeColor="accent1"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5">
    <w:name w:val="Medium Grid 1 Accent 2"/>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cf7b79" w:themeColor="accent2"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6">
    <w:name w:val="Medium Grid 1 Accent 3"/>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b3cc82" w:themeColor="accent3"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7">
    <w:name w:val="Medium Grid 1 Accent 4"/>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9f8ab9" w:themeColor="accent4"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8">
    <w:name w:val="Medium Grid 1 Accent 5"/>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78c0d4" w:themeColor="accent5"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9">
    <w:name w:val="Medium Grid 1 Accent 6"/>
    <w:basedOn w:val="983"/>
    <w:uiPriority w:val="67"/>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rPr>
      <w:pPr>
        <w:pBdr/>
        <w:spacing/>
        <w:ind/>
      </w:pPr>
      <w:tblPr>
        <w:tblBorders/>
      </w:tblPr>
      <w:tcPr>
        <w:tcBorders/>
      </w:tcPr>
    </w:tblStylePr>
    <w:tblStylePr w:type="lastCol">
      <w:rPr>
        <w:b/>
        <w:bCs/>
      </w:rPr>
      <w:pPr>
        <w:pBdr/>
        <w:spacing/>
        <w:ind/>
      </w:pPr>
      <w:tblPr>
        <w:tblBorders/>
      </w:tblPr>
      <w:tcPr>
        <w:tcBorders/>
      </w:tcPr>
    </w:tblStylePr>
    <w:tblStylePr w:type="lastRow">
      <w:rPr>
        <w:b/>
        <w:bCs/>
      </w:rPr>
      <w:pPr>
        <w:pBdr/>
        <w:spacing/>
        <w:ind/>
      </w:pPr>
      <w:tblPr>
        <w:tblBorders/>
      </w:tblPr>
      <w:tcPr>
        <w:tcBorders>
          <w:top w:val="single" w:color="f9b074" w:themeColor="accent6" w:themeTint="BF" w:sz="1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0">
    <w:name w:val="Medium Grid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6e6e6" w:themeFill="text1" w:themeFillTint="19"/>
        <w:tcBorders/>
      </w:tcPr>
    </w:tblStylePr>
    <w:tblStylePr w:type="lastCol">
      <w:rPr>
        <w:b w:val="0"/>
        <w:bCs w:val="0"/>
        <w:color w:val="000000" w:themeColor="text1"/>
      </w:rPr>
      <w:pPr>
        <w:pBdr/>
        <w:spacing/>
        <w:ind/>
      </w:pPr>
      <w:tblPr>
        <w:tblBorders/>
      </w:tblPr>
      <w:tcPr>
        <w:shd w:val="clear" w:color="auto" w:fill="cccccc" w:themeFill="tex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1">
    <w:name w:val="Medium Grid 2 Accent 1"/>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2f8" w:themeFill="accent1" w:themeFillTint="19"/>
        <w:tcBorders/>
      </w:tcPr>
    </w:tblStylePr>
    <w:tblStylePr w:type="lastCol">
      <w:rPr>
        <w:b w:val="0"/>
        <w:bCs w:val="0"/>
        <w:color w:val="000000" w:themeColor="text1"/>
      </w:rPr>
      <w:pPr>
        <w:pBdr/>
        <w:spacing/>
        <w:ind/>
      </w:pPr>
      <w:tblPr>
        <w:tblBorders/>
      </w:tblPr>
      <w:tcPr>
        <w:shd w:val="clear" w:color="auto" w:fill="dbe5f1" w:themeFill="accent1"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2">
    <w:name w:val="Medium Grid 2 Accent 2"/>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8eded" w:themeFill="accent2" w:themeFillTint="19"/>
        <w:tcBorders/>
      </w:tcPr>
    </w:tblStylePr>
    <w:tblStylePr w:type="lastCol">
      <w:rPr>
        <w:b w:val="0"/>
        <w:bCs w:val="0"/>
        <w:color w:val="000000" w:themeColor="text1"/>
      </w:rPr>
      <w:pPr>
        <w:pBdr/>
        <w:spacing/>
        <w:ind/>
      </w:pPr>
      <w:tblPr>
        <w:tblBorders/>
      </w:tblPr>
      <w:tcPr>
        <w:shd w:val="clear" w:color="auto" w:fill="f2dbdb" w:themeFill="accent2"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3">
    <w:name w:val="Medium Grid 2 Accent 3"/>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5f8ee" w:themeFill="accent3" w:themeFillTint="19"/>
        <w:tcBorders/>
      </w:tcPr>
    </w:tblStylePr>
    <w:tblStylePr w:type="lastCol">
      <w:rPr>
        <w:b w:val="0"/>
        <w:bCs w:val="0"/>
        <w:color w:val="000000" w:themeColor="text1"/>
      </w:rPr>
      <w:pPr>
        <w:pBdr/>
        <w:spacing/>
        <w:ind/>
      </w:pPr>
      <w:tblPr>
        <w:tblBorders/>
      </w:tblPr>
      <w:tcPr>
        <w:shd w:val="clear" w:color="auto" w:fill="eaf1dd" w:themeFill="accent3"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4">
    <w:name w:val="Medium Grid 2 Accent 4"/>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2eff6" w:themeFill="accent4" w:themeFillTint="19"/>
        <w:tcBorders/>
      </w:tcPr>
    </w:tblStylePr>
    <w:tblStylePr w:type="lastCol">
      <w:rPr>
        <w:b w:val="0"/>
        <w:bCs w:val="0"/>
        <w:color w:val="000000" w:themeColor="text1"/>
      </w:rPr>
      <w:pPr>
        <w:pBdr/>
        <w:spacing/>
        <w:ind/>
      </w:pPr>
      <w:tblPr>
        <w:tblBorders/>
      </w:tblPr>
      <w:tcPr>
        <w:shd w:val="clear" w:color="auto" w:fill="e5dfec" w:themeFill="accent4"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5">
    <w:name w:val="Medium Grid 2 Accent 5"/>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edf6f9" w:themeFill="accent5" w:themeFillTint="19"/>
        <w:tcBorders/>
      </w:tcPr>
    </w:tblStylePr>
    <w:tblStylePr w:type="lastCol">
      <w:rPr>
        <w:b w:val="0"/>
        <w:bCs w:val="0"/>
        <w:color w:val="000000" w:themeColor="text1"/>
      </w:rPr>
      <w:pPr>
        <w:pBdr/>
        <w:spacing/>
        <w:ind/>
      </w:pPr>
      <w:tblPr>
        <w:tblBorders/>
      </w:tblPr>
      <w:tcPr>
        <w:shd w:val="clear" w:color="auto" w:fill="daeef3" w:themeFill="accent5"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6">
    <w:name w:val="Medium Grid 2 Accent 6"/>
    <w:basedOn w:val="983"/>
    <w:uiPriority w:val="68"/>
    <w:pPr>
      <w:pBdr/>
      <w:spacing w:after="0" w:line="240" w:lineRule="auto"/>
      <w:ind/>
    </w:pPr>
    <w:rPr>
      <w:rFonts w:asciiTheme="majorHAnsi" w:hAnsiTheme="majorHAnsi" w:eastAsiaTheme="majorEastAsia" w:cstheme="majorBidi"/>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color w:val="000000" w:themeColor="text1"/>
      </w:rPr>
      <w:pPr>
        <w:pBdr/>
        <w:spacing/>
        <w:ind/>
      </w:pPr>
      <w:tblPr>
        <w:tblBorders/>
      </w:tblPr>
      <w:tcPr>
        <w:shd w:val="clear" w:color="auto" w:fill="ffffff" w:themeFill="background1"/>
        <w:tcBorders>
          <w:top w:val="none" w:color="000000" w:sz="4" w:space="0"/>
          <w:left w:val="none" w:color="000000" w:sz="4" w:space="0"/>
          <w:bottom w:val="none" w:color="000000" w:sz="4" w:space="0"/>
          <w:right w:val="none" w:color="000000" w:sz="4" w:space="0"/>
        </w:tcBorders>
      </w:tcPr>
    </w:tblStylePr>
    <w:tblStylePr w:type="firstRow">
      <w:rPr>
        <w:b/>
        <w:bCs/>
        <w:color w:val="000000" w:themeColor="text1"/>
      </w:rPr>
      <w:pPr>
        <w:pBdr/>
        <w:spacing/>
        <w:ind/>
      </w:pPr>
      <w:tblPr>
        <w:tblBorders/>
      </w:tblPr>
      <w:tcPr>
        <w:shd w:val="clear" w:color="auto" w:fill="fef4ec" w:themeFill="accent6" w:themeFillTint="19"/>
        <w:tcBorders/>
      </w:tcPr>
    </w:tblStylePr>
    <w:tblStylePr w:type="lastCol">
      <w:rPr>
        <w:b w:val="0"/>
        <w:bCs w:val="0"/>
        <w:color w:val="000000" w:themeColor="text1"/>
      </w:rPr>
      <w:pPr>
        <w:pBdr/>
        <w:spacing/>
        <w:ind/>
      </w:pPr>
      <w:tblPr>
        <w:tblBorders/>
      </w:tblPr>
      <w:tcPr>
        <w:shd w:val="clear" w:color="auto" w:fill="fde9d9" w:themeFill="accent6" w:themeFillTint="33"/>
        <w:tcBorders>
          <w:top w:val="none" w:color="000000" w:sz="4" w:space="0"/>
          <w:left w:val="none" w:color="000000" w:sz="4" w:space="0"/>
          <w:bottom w:val="none" w:color="000000" w:sz="4" w:space="0"/>
          <w:right w:val="none" w:color="000000" w:sz="4" w:space="0"/>
        </w:tcBorders>
      </w:tcPr>
    </w:tblStylePr>
    <w:tblStylePr w:type="lastRow">
      <w:rPr>
        <w:b/>
        <w:bCs/>
        <w:color w:val="000000" w:themeColor="text1"/>
      </w:rPr>
      <w:pPr>
        <w:pBdr/>
        <w:spacing/>
        <w:ind/>
      </w:pPr>
      <w:tblPr>
        <w:tblBorders/>
      </w:tblPr>
      <w:tcPr>
        <w:shd w:val="clear" w:color="auto" w:fill="ffffff" w:themeFill="background1"/>
        <w:tcBorders>
          <w:top w:val="single" w:color="000000" w:themeColor="text1" w:sz="12" w:space="0"/>
          <w:left w:val="none" w:color="000000" w:sz="4" w:space="0"/>
          <w:bottom w:val="none" w:color="000000" w:sz="4" w:space="0"/>
          <w:right w:val="none" w:color="000000" w:sz="4" w:space="0"/>
        </w:tcBorders>
      </w:tcPr>
    </w:tblStylePr>
    <w:tblStylePr w:type="nwCell">
      <w:pPr>
        <w:pBdr/>
        <w:spacing/>
        <w:ind/>
      </w:pPr>
      <w:tblPr>
        <w:tblBorders/>
      </w:tblPr>
      <w:tcPr>
        <w:shd w:val="clear" w:color="auto" w:fill="ffffff" w:themeFill="background1"/>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7">
    <w:name w:val="Medium Grid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Borders/>
    </w:tcPr>
    <w:tblStylePr w:type="band1Horz">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808080" w:themeFill="tex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000000" w:themeFill="tex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000000" w:themeFill="tex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000000" w:themeFill="tex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000000" w:themeFill="tex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8">
    <w:name w:val="Medium Grid 3 Accent 1"/>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Borders/>
    </w:tcPr>
    <w:tblStylePr w:type="band1Horz">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7bfde" w:themeFill="accent1"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f81bd" w:themeFill="accent1"/>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f81bd" w:themeFill="accent1"/>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f81bd" w:themeFill="accent1"/>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f81bd" w:themeFill="accent1"/>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9">
    <w:name w:val="Medium Grid 3 Accent 2"/>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Borders/>
    </w:tcPr>
    <w:tblStylePr w:type="band1Horz">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dfa7a6" w:themeFill="accent2"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c0504d" w:themeFill="accent2"/>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c0504d" w:themeFill="accent2"/>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c0504d" w:themeFill="accent2"/>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c0504d" w:themeFill="accent2"/>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0">
    <w:name w:val="Medium Grid 3 Accent 3"/>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Borders/>
    </w:tcPr>
    <w:tblStylePr w:type="band1Horz">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cdddac" w:themeFill="accent3"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9bbb59" w:themeFill="accent3"/>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9bbb59" w:themeFill="accent3"/>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9bbb59" w:themeFill="accent3"/>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9bbb59" w:themeFill="accent3"/>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1">
    <w:name w:val="Medium Grid 3 Accent 4"/>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Borders/>
    </w:tcPr>
    <w:tblStylePr w:type="band1Horz">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bfb1d0" w:themeFill="accent4"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8064a2" w:themeFill="accent4"/>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8064a2" w:themeFill="accent4"/>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8064a2" w:themeFill="accent4"/>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8064a2" w:themeFill="accent4"/>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2">
    <w:name w:val="Medium Grid 3 Accent 5"/>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Borders/>
    </w:tcPr>
    <w:tblStylePr w:type="band1Horz">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a5d5e2" w:themeFill="accent5"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4bacc6" w:themeFill="accent5"/>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4bacc6" w:themeFill="accent5"/>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4bacc6" w:themeFill="accent5"/>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4bacc6" w:themeFill="accent5"/>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3">
    <w:name w:val="Medium Grid 3 Accent 6"/>
    <w:basedOn w:val="983"/>
    <w:uiPriority w:val="69"/>
    <w:pPr>
      <w:pBdr/>
      <w:spacing w:after="0" w:line="240" w:lineRule="auto"/>
      <w:ind/>
    </w:pPr>
    <w:tblPr>
      <w:tblStyleRowBandSize w:val="1"/>
      <w:tblStyleColBandSize w:val="1"/>
      <w:tblInd w:w="0" w:type="dxa"/>
      <w:tblCellMar>
        <w:left w:w="108" w:type="dxa"/>
        <w:top w:w="0" w:type="dxa"/>
        <w:right w:w="108" w:type="dxa"/>
        <w:bottom w:w="0" w:type="dxa"/>
      </w:tblCellMa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Borders/>
    </w:tcPr>
    <w:tblStylePr w:type="band1Horz">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1Vert">
      <w:pPr>
        <w:pBdr/>
        <w:spacing/>
        <w:ind/>
      </w:pPr>
      <w:tblPr>
        <w:tblBorders/>
      </w:tblPr>
      <w:tcPr>
        <w:shd w:val="clear" w:color="auto" w:fill="fbcaa2" w:themeFill="accent6" w:themeFillTint="7F"/>
        <w:tcBorders>
          <w:top w:val="single" w:color="ffffff" w:themeColor="background1" w:sz="8" w:space="0"/>
          <w:left w:val="single" w:color="ffffff" w:themeColor="background1" w:sz="8" w:space="0"/>
          <w:bottom w:val="single" w:color="ffffff" w:themeColor="background1" w:sz="8" w:space="0"/>
          <w:right w:val="single" w:color="ffffff" w:themeColor="background1" w:sz="8"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i w:val="0"/>
        <w:iCs w:val="0"/>
        <w:color w:val="ffffff" w:themeColor="background1"/>
      </w:rPr>
      <w:pPr>
        <w:pBdr/>
        <w:spacing/>
        <w:ind/>
      </w:pPr>
      <w:tblPr>
        <w:tblBorders/>
      </w:tblPr>
      <w:tcPr>
        <w:shd w:val="clear" w:color="auto" w:fill="f79646" w:themeFill="accent6"/>
        <w:tcBorders>
          <w:left w:val="single" w:color="ffffff" w:themeColor="background1" w:sz="8" w:space="0"/>
          <w:right w:val="single" w:color="ffffff" w:themeColor="background1" w:sz="24" w:space="0"/>
        </w:tcBorders>
      </w:tcPr>
    </w:tblStylePr>
    <w:tblStylePr w:type="firstRow">
      <w:rPr>
        <w:b/>
        <w:bCs/>
        <w:i w:val="0"/>
        <w:iCs w:val="0"/>
        <w:color w:val="ffffff" w:themeColor="background1"/>
      </w:rPr>
      <w:pPr>
        <w:pBdr/>
        <w:spacing/>
        <w:ind/>
      </w:pPr>
      <w:tblPr>
        <w:tblBorders/>
      </w:tblPr>
      <w:tcPr>
        <w:shd w:val="clear" w:color="auto" w:fill="f79646" w:themeFill="accent6"/>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tcBorders>
      </w:tcPr>
    </w:tblStylePr>
    <w:tblStylePr w:type="lastCol">
      <w:rPr>
        <w:b/>
        <w:bCs/>
        <w:i w:val="0"/>
        <w:iCs w:val="0"/>
        <w:color w:val="ffffff" w:themeColor="background1"/>
      </w:rPr>
      <w:pPr>
        <w:pBdr/>
        <w:spacing/>
        <w:ind/>
      </w:pPr>
      <w:tblPr>
        <w:tblBorders/>
      </w:tblPr>
      <w:tcPr>
        <w:shd w:val="clear" w:color="auto" w:fill="f79646" w:themeFill="accent6"/>
        <w:tcBorders>
          <w:top w:val="none" w:color="000000" w:sz="4" w:space="0"/>
          <w:left w:val="single" w:color="ffffff" w:themeColor="background1" w:sz="24" w:space="0"/>
          <w:bottom w:val="none" w:color="000000" w:sz="4" w:space="0"/>
          <w:right w:val="none" w:color="000000" w:sz="4" w:space="0"/>
        </w:tcBorders>
      </w:tcPr>
    </w:tblStylePr>
    <w:tblStylePr w:type="lastRow">
      <w:rPr>
        <w:b/>
        <w:bCs/>
        <w:i w:val="0"/>
        <w:iCs w:val="0"/>
        <w:color w:val="ffffff" w:themeColor="background1"/>
      </w:rPr>
      <w:pPr>
        <w:pBdr/>
        <w:spacing/>
        <w:ind/>
      </w:pPr>
      <w:tblPr>
        <w:tblBorders/>
      </w:tblPr>
      <w:tcPr>
        <w:shd w:val="clear" w:color="auto" w:fill="f79646" w:themeFill="accent6"/>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4">
    <w:name w:val="Dark List"/>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000000" w:themeFill="text1"/>
      <w:tcBorders/>
    </w:tcPr>
    <w:tblStylePr w:type="band1Horz">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000000" w:themeFill="tex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000000" w:themeFill="tex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5">
    <w:name w:val="Dark List Accent 1"/>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f81bd" w:themeFill="accent1"/>
      <w:tcBorders/>
    </w:tcPr>
    <w:tblStylePr w:type="band1Horz">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65f91" w:themeFill="accent1"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65f91" w:themeFill="accent1"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43f60" w:themeFill="accent1"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6">
    <w:name w:val="Dark List Accent 2"/>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c0504d" w:themeFill="accent2"/>
      <w:tcBorders/>
    </w:tcPr>
    <w:tblStylePr w:type="band1Horz">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943634" w:themeFill="accent2"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943634" w:themeFill="accent2"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622423" w:themeFill="accent2"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7">
    <w:name w:val="Dark List Accent 3"/>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9bbb59" w:themeFill="accent3"/>
      <w:tcBorders/>
    </w:tcPr>
    <w:tblStylePr w:type="band1Horz">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76923c" w:themeFill="accent3"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76923c" w:themeFill="accent3"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4e6128" w:themeFill="accent3"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8">
    <w:name w:val="Dark List Accent 4"/>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8064a2" w:themeFill="accent4"/>
      <w:tcBorders/>
    </w:tcPr>
    <w:tblStylePr w:type="band1Horz">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5f497a" w:themeFill="accent4"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5f497a" w:themeFill="accent4"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3f3151" w:themeFill="accent4"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9">
    <w:name w:val="Dark List Accent 5"/>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4bacc6" w:themeFill="accent5"/>
      <w:tcBorders/>
    </w:tcPr>
    <w:tblStylePr w:type="band1Horz">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31849b" w:themeFill="accent5"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31849b" w:themeFill="accent5"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205867" w:themeFill="accent5"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0">
    <w:name w:val="Dark List Accent 6"/>
    <w:basedOn w:val="983"/>
    <w:uiPriority w:val="70"/>
    <w:pPr>
      <w:pBdr/>
      <w:spacing w:after="0" w:line="240" w:lineRule="auto"/>
      <w:ind/>
    </w:pPr>
    <w:rPr>
      <w:color w:val="ffffff" w:themeColor="background1"/>
    </w:rPr>
    <w:tblPr>
      <w:tblStyleRowBandSize w:val="1"/>
      <w:tblStyleColBandSize w:val="1"/>
      <w:tblInd w:w="0" w:type="dxa"/>
      <w:tblCellMar>
        <w:left w:w="108" w:type="dxa"/>
        <w:top w:w="0" w:type="dxa"/>
        <w:right w:w="108" w:type="dxa"/>
        <w:bottom w:w="0" w:type="dxa"/>
      </w:tblCellMar>
      <w:tblBorders/>
    </w:tblPr>
    <w:tcPr>
      <w:shd w:val="clear" w:color="auto" w:fill="f79646" w:themeFill="accent6"/>
      <w:tcBorders/>
    </w:tcPr>
    <w:tblStylePr w:type="band1Horz">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1Vert">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shd w:val="clear" w:color="auto" w:fill="e36c0a" w:themeFill="accent6" w:themeFillShade="BF"/>
        <w:tcBorders>
          <w:top w:val="none" w:color="000000" w:sz="4" w:space="0"/>
          <w:left w:val="none" w:color="000000" w:sz="4" w:space="0"/>
          <w:bottom w:val="none" w:color="000000" w:sz="4" w:space="0"/>
          <w:right w:val="single" w:color="ffffff" w:themeColor="background1" w:sz="18" w:space="0"/>
        </w:tcBorders>
      </w:tcPr>
    </w:tblStylePr>
    <w:tblStylePr w:type="firstRow">
      <w:rPr>
        <w:b/>
        <w:bCs/>
      </w:rPr>
      <w:pPr>
        <w:pBdr/>
        <w:spacing/>
        <w:ind/>
      </w:pPr>
      <w:tblPr>
        <w:tblBorders/>
      </w:tblPr>
      <w:tcPr>
        <w:shd w:val="clear" w:color="auto" w:fill="000000" w:themeFill="text1"/>
        <w:tcBorders>
          <w:top w:val="none" w:color="000000" w:sz="4" w:space="0"/>
          <w:left w:val="none" w:color="000000" w:sz="4" w:space="0"/>
          <w:bottom w:val="single" w:color="ffffff" w:themeColor="background1" w:sz="18" w:space="0"/>
          <w:right w:val="none" w:color="000000" w:sz="4" w:space="0"/>
        </w:tcBorders>
      </w:tcPr>
    </w:tblStylePr>
    <w:tblStylePr w:type="lastCol">
      <w:pPr>
        <w:pBdr/>
        <w:spacing/>
        <w:ind/>
      </w:pPr>
      <w:tblPr>
        <w:tblBorders/>
      </w:tblPr>
      <w:tcPr>
        <w:shd w:val="clear" w:color="auto" w:fill="e36c0a" w:themeFill="accent6" w:themeFillShade="BF"/>
        <w:tcBorders>
          <w:top w:val="none" w:color="000000" w:sz="4" w:space="0"/>
          <w:left w:val="single" w:color="ffffff" w:themeColor="background1" w:sz="18" w:space="0"/>
          <w:bottom w:val="none" w:color="000000" w:sz="4" w:space="0"/>
          <w:right w:val="none" w:color="000000" w:sz="4" w:space="0"/>
        </w:tcBorders>
      </w:tcPr>
    </w:tblStylePr>
    <w:tblStylePr w:type="lastRow">
      <w:pPr>
        <w:pBdr/>
        <w:spacing/>
        <w:ind/>
      </w:pPr>
      <w:tblPr>
        <w:tblBorders/>
      </w:tblPr>
      <w:tcPr>
        <w:shd w:val="clear" w:color="auto" w:fill="974706" w:themeFill="accent6" w:themeFillShade="7F"/>
        <w:tcBorders>
          <w:top w:val="single" w:color="ffffff" w:themeColor="background1" w:sz="18"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1">
    <w:name w:val="Colorful Shading"/>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999999" w:themeFill="tex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000000" w:themeFill="text1" w:themeFillShade="BF"/>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000000" w:themeFill="tex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2">
    <w:name w:val="Colorful Shading Accent 1"/>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b8cce4" w:themeFill="accent1"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2c4c74" w:themeFill="accent1"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c4c74" w:themeFill="accent1"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3">
    <w:name w:val="Colorful Shading Accent 2"/>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e5b8b7" w:themeFill="accent2"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c0504d" w:themeColor="accent2" w:sz="24" w:space="0"/>
          <w:right w:val="none" w:color="000000" w:sz="4" w:space="0"/>
        </w:tcBorders>
      </w:tcPr>
    </w:tblStylePr>
    <w:tblStylePr w:type="lastCol">
      <w:rPr>
        <w:color w:val="ffffff" w:themeColor="background1"/>
      </w:rPr>
      <w:pPr>
        <w:pBdr/>
        <w:spacing/>
        <w:ind/>
      </w:pPr>
      <w:tblPr>
        <w:tblBorders/>
      </w:tblPr>
      <w:tcPr>
        <w:shd w:val="clear" w:color="auto" w:fill="772c2a" w:themeFill="accent2"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772c2a" w:themeFill="accent2"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4">
    <w:name w:val="Colorful Shading Accent 3"/>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d6e3bc" w:themeFill="accent3"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8064a2" w:themeColor="accent4" w:sz="24" w:space="0"/>
          <w:right w:val="none" w:color="000000" w:sz="4" w:space="0"/>
        </w:tcBorders>
      </w:tcPr>
    </w:tblStylePr>
    <w:tblStylePr w:type="lastCol">
      <w:rPr>
        <w:color w:val="ffffff" w:themeColor="background1"/>
      </w:rPr>
      <w:pPr>
        <w:pBdr/>
        <w:spacing/>
        <w:ind/>
      </w:pPr>
      <w:tblPr>
        <w:tblBorders/>
      </w:tblPr>
      <w:tcPr>
        <w:shd w:val="clear" w:color="auto" w:fill="5e7530" w:themeFill="accent3"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5e7530" w:themeFill="accent3" w:themeFillShade="99"/>
        <w:tcBorders>
          <w:top w:val="single" w:color="ffffff" w:themeColor="background1" w:sz="6"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5">
    <w:name w:val="Colorful Shading Accent 4"/>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ccc0d9" w:themeFill="accent4"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9bbb59" w:themeColor="accent3" w:sz="24" w:space="0"/>
          <w:right w:val="none" w:color="000000" w:sz="4" w:space="0"/>
        </w:tcBorders>
      </w:tcPr>
    </w:tblStylePr>
    <w:tblStylePr w:type="lastCol">
      <w:rPr>
        <w:color w:val="ffffff" w:themeColor="background1"/>
      </w:rPr>
      <w:pPr>
        <w:pBdr/>
        <w:spacing/>
        <w:ind/>
      </w:pPr>
      <w:tblPr>
        <w:tblBorders/>
      </w:tblPr>
      <w:tcPr>
        <w:shd w:val="clear" w:color="auto" w:fill="4c3b62" w:themeFill="accent4"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4c3b62" w:themeFill="accent4"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6">
    <w:name w:val="Colorful Shading Accent 5"/>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b6dde8" w:themeFill="accent5"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f79646" w:themeColor="accent6" w:sz="24" w:space="0"/>
          <w:right w:val="none" w:color="000000" w:sz="4" w:space="0"/>
        </w:tcBorders>
      </w:tcPr>
    </w:tblStylePr>
    <w:tblStylePr w:type="lastCol">
      <w:rPr>
        <w:color w:val="ffffff" w:themeColor="background1"/>
      </w:rPr>
      <w:pPr>
        <w:pBdr/>
        <w:spacing/>
        <w:ind/>
      </w:pPr>
      <w:tblPr>
        <w:tblBorders/>
      </w:tblPr>
      <w:tcPr>
        <w:shd w:val="clear" w:color="auto" w:fill="276a7c" w:themeFill="accent5"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276a7c" w:themeFill="accent5"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7">
    <w:name w:val="Colorful Shading Accent 6"/>
    <w:basedOn w:val="983"/>
    <w:uiPriority w:val="71"/>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d4b4" w:themeFill="accent6" w:themeFillTint="66"/>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firstRow">
      <w:rPr>
        <w:b/>
        <w:bCs/>
      </w:rPr>
      <w:pPr>
        <w:pBdr/>
        <w:spacing/>
        <w:ind/>
      </w:pPr>
      <w:tblPr>
        <w:tblBorders/>
      </w:tblPr>
      <w:tcPr>
        <w:shd w:val="clear" w:color="auto" w:fill="ffffff" w:themeFill="background1"/>
        <w:tcBorders>
          <w:top w:val="none" w:color="000000" w:sz="4" w:space="0"/>
          <w:left w:val="none" w:color="000000" w:sz="4" w:space="0"/>
          <w:bottom w:val="single" w:color="4bacc6" w:themeColor="accent5" w:sz="24" w:space="0"/>
          <w:right w:val="none" w:color="000000" w:sz="4" w:space="0"/>
        </w:tcBorders>
      </w:tcPr>
    </w:tblStylePr>
    <w:tblStylePr w:type="lastCol">
      <w:rPr>
        <w:color w:val="ffffff" w:themeColor="background1"/>
      </w:rPr>
      <w:pPr>
        <w:pBdr/>
        <w:spacing/>
        <w:ind/>
      </w:pPr>
      <w:tblPr>
        <w:tblBorders/>
      </w:tblPr>
      <w:tcPr>
        <w:shd w:val="clear" w:color="auto" w:fill="b65608" w:themeFill="accent6" w:themeFillShade="99"/>
        <w:tcBorders>
          <w:top w:val="none" w:color="000000" w:sz="4" w:space="0"/>
          <w:left w:val="none" w:color="000000" w:sz="4" w:space="0"/>
          <w:bottom w:val="none" w:color="000000" w:sz="4" w:space="0"/>
          <w:right w:val="none" w:color="000000" w:sz="4" w:space="0"/>
        </w:tcBorders>
      </w:tcPr>
    </w:tblStylePr>
    <w:tblStylePr w:type="lastRow">
      <w:rPr>
        <w:b/>
        <w:bCs/>
        <w:color w:val="ffffff" w:themeColor="background1"/>
      </w:rPr>
      <w:pPr>
        <w:pBdr/>
        <w:spacing/>
        <w:ind/>
      </w:pPr>
      <w:tblPr>
        <w:tblBorders/>
      </w:tblPr>
      <w:tcPr>
        <w:shd w:val="clear" w:color="auto" w:fill="b65608" w:themeFill="accent6" w:themeFillShade="99"/>
        <w:tcBorders>
          <w:top w:val="single" w:color="ffffff" w:themeColor="background1" w:sz="6" w:space="0"/>
        </w:tcBorders>
      </w:tcPr>
    </w:tblStylePr>
    <w:tblStylePr w:type="nwCell">
      <w:rPr>
        <w:color w:val="000000" w:themeColor="text1"/>
      </w:rPr>
      <w:pPr>
        <w:pBdr/>
        <w:spacing/>
        <w:ind/>
      </w:pPr>
      <w:tblPr>
        <w:tblBorders/>
      </w:tblPr>
      <w:tcPr>
        <w:tcBorders/>
      </w:tcPr>
    </w:tblStylePr>
    <w:tblStylePr w:type="neCell">
      <w:rPr>
        <w:color w:val="000000" w:themeColor="text1"/>
      </w:rPr>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8">
    <w:name w:val="Colorful List"/>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6e6e6" w:themeFill="text1" w:themeFillTint="19"/>
      <w:tcBorders/>
    </w:tcPr>
    <w:tblStylePr w:type="band1Horz">
      <w:pPr>
        <w:pBdr/>
        <w:spacing/>
        <w:ind/>
      </w:pPr>
      <w:tblPr>
        <w:tblBorders/>
      </w:tblPr>
      <w:tcPr>
        <w:shd w:val="clear" w:color="auto" w:fill="cccccc" w:themeFill="text1" w:themeFillTint="33"/>
        <w:tcBorders/>
      </w:tcPr>
    </w:tblStylePr>
    <w:tblStylePr w:type="band1Vert">
      <w:pPr>
        <w:pBdr/>
        <w:spacing/>
        <w:ind/>
      </w:pPr>
      <w:tblPr>
        <w:tblBorders/>
      </w:tblPr>
      <w:tcPr>
        <w:shd w:val="clear" w:color="auto" w:fill="c0c0c0" w:themeFill="tex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19">
    <w:name w:val="Colorful List Accent 1"/>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2f8" w:themeFill="accent1" w:themeFillTint="19"/>
      <w:tcBorders/>
    </w:tcPr>
    <w:tblStylePr w:type="band1Horz">
      <w:pPr>
        <w:pBdr/>
        <w:spacing/>
        <w:ind/>
      </w:pPr>
      <w:tblPr>
        <w:tblBorders/>
      </w:tblPr>
      <w:tcPr>
        <w:shd w:val="clear" w:color="auto" w:fill="dbe5f1" w:themeFill="accent1" w:themeFillTint="33"/>
        <w:tcBorders/>
      </w:tcPr>
    </w:tblStylePr>
    <w:tblStylePr w:type="band1Vert">
      <w:pPr>
        <w:pBdr/>
        <w:spacing/>
        <w:ind/>
      </w:pPr>
      <w:tblPr>
        <w:tblBorders/>
      </w:tblPr>
      <w:tcPr>
        <w:shd w:val="clear" w:color="auto" w:fill="d3dfee" w:themeFill="accent1"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0">
    <w:name w:val="Colorful List Accent 2"/>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8eded" w:themeFill="accent2" w:themeFillTint="19"/>
      <w:tcBorders/>
    </w:tcPr>
    <w:tblStylePr w:type="band1Horz">
      <w:pPr>
        <w:pBdr/>
        <w:spacing/>
        <w:ind/>
      </w:pPr>
      <w:tblPr>
        <w:tblBorders/>
      </w:tblPr>
      <w:tcPr>
        <w:shd w:val="clear" w:color="auto" w:fill="f2dbdb" w:themeFill="accent2" w:themeFillTint="33"/>
        <w:tcBorders/>
      </w:tcPr>
    </w:tblStylePr>
    <w:tblStylePr w:type="band1Vert">
      <w:pPr>
        <w:pBdr/>
        <w:spacing/>
        <w:ind/>
      </w:pPr>
      <w:tblPr>
        <w:tblBorders/>
      </w:tblPr>
      <w:tcPr>
        <w:shd w:val="clear" w:color="auto" w:fill="efd3d2" w:themeFill="accent2"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9e3a38" w:themeFill="accent2"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9e3a38" w:themeColor="accent2"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1">
    <w:name w:val="Colorful List Accent 3"/>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5f8ee" w:themeFill="accent3" w:themeFillTint="19"/>
      <w:tcBorders/>
    </w:tcPr>
    <w:tblStylePr w:type="band1Horz">
      <w:pPr>
        <w:pBdr/>
        <w:spacing/>
        <w:ind/>
      </w:pPr>
      <w:tblPr>
        <w:tblBorders/>
      </w:tblPr>
      <w:tcPr>
        <w:shd w:val="clear" w:color="auto" w:fill="eaf1dd" w:themeFill="accent3" w:themeFillTint="33"/>
        <w:tcBorders/>
      </w:tcPr>
    </w:tblStylePr>
    <w:tblStylePr w:type="band1Vert">
      <w:pPr>
        <w:pBdr/>
        <w:spacing/>
        <w:ind/>
      </w:pPr>
      <w:tblPr>
        <w:tblBorders/>
      </w:tblPr>
      <w:tcPr>
        <w:shd w:val="clear" w:color="auto" w:fill="e6eed5" w:themeFill="accent3"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664e82" w:themeFill="accent4"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664e82" w:themeColor="accent4"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2">
    <w:name w:val="Colorful List Accent 4"/>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2eff6" w:themeFill="accent4" w:themeFillTint="19"/>
      <w:tcBorders/>
    </w:tcPr>
    <w:tblStylePr w:type="band1Horz">
      <w:pPr>
        <w:pBdr/>
        <w:spacing/>
        <w:ind/>
      </w:pPr>
      <w:tblPr>
        <w:tblBorders/>
      </w:tblPr>
      <w:tcPr>
        <w:shd w:val="clear" w:color="auto" w:fill="e5dfec" w:themeFill="accent4" w:themeFillTint="33"/>
        <w:tcBorders/>
      </w:tcPr>
    </w:tblStylePr>
    <w:tblStylePr w:type="band1Vert">
      <w:pPr>
        <w:pBdr/>
        <w:spacing/>
        <w:ind/>
      </w:pPr>
      <w:tblPr>
        <w:tblBorders/>
      </w:tblPr>
      <w:tcPr>
        <w:shd w:val="clear" w:color="auto" w:fill="dfd8e8" w:themeFill="accent4"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7e9c40" w:themeFill="accent3"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7e9c40" w:themeColor="accent3"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3">
    <w:name w:val="Colorful List Accent 5"/>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edf6f9" w:themeFill="accent5" w:themeFillTint="19"/>
      <w:tcBorders/>
    </w:tcPr>
    <w:tblStylePr w:type="band1Horz">
      <w:pPr>
        <w:pBdr/>
        <w:spacing/>
        <w:ind/>
      </w:pPr>
      <w:tblPr>
        <w:tblBorders/>
      </w:tblPr>
      <w:tcPr>
        <w:shd w:val="clear" w:color="auto" w:fill="daeef3" w:themeFill="accent5" w:themeFillTint="33"/>
        <w:tcBorders/>
      </w:tcPr>
    </w:tblStylePr>
    <w:tblStylePr w:type="band1Vert">
      <w:pPr>
        <w:pBdr/>
        <w:spacing/>
        <w:ind/>
      </w:pPr>
      <w:tblPr>
        <w:tblBorders/>
      </w:tblPr>
      <w:tcPr>
        <w:shd w:val="clear" w:color="auto" w:fill="d2eaf1" w:themeFill="accent5"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f2730a" w:themeFill="accent6"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f2730a" w:themeColor="accent6"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4">
    <w:name w:val="Colorful List Accent 6"/>
    <w:basedOn w:val="983"/>
    <w:uiPriority w:val="72"/>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tblPr>
    <w:tcPr>
      <w:shd w:val="clear" w:color="auto" w:fill="fef4ec" w:themeFill="accent6" w:themeFillTint="19"/>
      <w:tcBorders/>
    </w:tcPr>
    <w:tblStylePr w:type="band1Horz">
      <w:pPr>
        <w:pBdr/>
        <w:spacing/>
        <w:ind/>
      </w:pPr>
      <w:tblPr>
        <w:tblBorders/>
      </w:tblPr>
      <w:tcPr>
        <w:shd w:val="clear" w:color="auto" w:fill="fde9d9" w:themeFill="accent6" w:themeFillTint="33"/>
        <w:tcBorders/>
      </w:tcPr>
    </w:tblStylePr>
    <w:tblStylePr w:type="band1Vert">
      <w:pPr>
        <w:pBdr/>
        <w:spacing/>
        <w:ind/>
      </w:pPr>
      <w:tblPr>
        <w:tblBorders/>
      </w:tblPr>
      <w:tcPr>
        <w:shd w:val="clear" w:color="auto" w:fill="fde4d0" w:themeFill="accent6" w:themeFillTint="3F"/>
        <w:tcBorders>
          <w:top w:val="none" w:color="000000" w:sz="4" w:space="0"/>
          <w:left w:val="none" w:color="000000" w:sz="4" w:space="0"/>
          <w:bottom w:val="none" w:color="000000" w:sz="4" w:space="0"/>
          <w:right w:val="none" w:color="000000"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bCs/>
      </w:rPr>
      <w:pPr>
        <w:pBdr/>
        <w:spacing/>
        <w:ind/>
      </w:pPr>
      <w:tblPr>
        <w:tblBorders/>
      </w:tblPr>
      <w:tcPr>
        <w:tcBorders/>
      </w:tcPr>
    </w:tblStylePr>
    <w:tblStylePr w:type="firstRow">
      <w:rPr>
        <w:b/>
        <w:bCs/>
        <w:color w:val="ffffff" w:themeColor="background1"/>
      </w:rPr>
      <w:pPr>
        <w:pBdr/>
        <w:spacing/>
        <w:ind/>
      </w:pPr>
      <w:tblPr>
        <w:tblBorders/>
      </w:tblPr>
      <w:tcPr>
        <w:shd w:val="clear" w:color="auto" w:fill="348da5" w:themeFill="accent5" w:themeFillShade="CC"/>
        <w:tcBorders>
          <w:bottom w:val="single" w:color="ffffff" w:themeColor="background1" w:sz="12" w:space="0"/>
        </w:tcBorders>
      </w:tcPr>
    </w:tblStylePr>
    <w:tblStylePr w:type="lastCol">
      <w:rPr>
        <w:b/>
        <w:bCs/>
      </w:rPr>
      <w:pPr>
        <w:pBdr/>
        <w:spacing/>
        <w:ind/>
      </w:pPr>
      <w:tblPr>
        <w:tblBorders/>
      </w:tblPr>
      <w:tcPr>
        <w:tcBorders/>
      </w:tcPr>
    </w:tblStylePr>
    <w:tblStylePr w:type="lastRow">
      <w:rPr>
        <w:b/>
        <w:bCs/>
        <w:color w:val="348da5" w:themeColor="accent5" w:themeShade="CC"/>
      </w:rPr>
      <w:pPr>
        <w:pBdr/>
        <w:spacing/>
        <w:ind/>
      </w:pPr>
      <w:tblPr>
        <w:tblBorders/>
      </w:tblPr>
      <w:tcPr>
        <w:shd w:val="clear" w:color="auto" w:fill="ffffff" w:themeFill="background1"/>
        <w:tcBorders>
          <w:top w:val="single" w:color="000000" w:themeColor="tex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5">
    <w:name w:val="Colorful Grid"/>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cccccc" w:themeFill="text1" w:themeFillTint="33"/>
      <w:tcBorders/>
    </w:tcPr>
    <w:tblStylePr w:type="band1Horz">
      <w:pPr>
        <w:pBdr/>
        <w:spacing/>
        <w:ind/>
      </w:pPr>
      <w:tblPr>
        <w:tblBorders/>
      </w:tblPr>
      <w:tcPr>
        <w:shd w:val="clear" w:color="auto" w:fill="808080" w:themeFill="text1" w:themeFillTint="7F"/>
        <w:tcBorders/>
      </w:tcPr>
    </w:tblStylePr>
    <w:tblStylePr w:type="band1Vert">
      <w:pPr>
        <w:pBdr/>
        <w:spacing/>
        <w:ind/>
      </w:pPr>
      <w:tblPr>
        <w:tblBorders/>
      </w:tblPr>
      <w:tcPr>
        <w:shd w:val="clear" w:color="auto" w:fill="808080" w:themeFill="tex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000000" w:themeFill="text1" w:themeFillShade="BF"/>
        <w:tcBorders/>
      </w:tcPr>
    </w:tblStylePr>
    <w:tblStylePr w:type="firstRow">
      <w:rPr>
        <w:b/>
        <w:bCs/>
      </w:rPr>
      <w:pPr>
        <w:pBdr/>
        <w:spacing/>
        <w:ind/>
      </w:pPr>
      <w:tblPr>
        <w:tblBorders/>
      </w:tblPr>
      <w:tcPr>
        <w:shd w:val="clear" w:color="auto" w:fill="999999" w:themeFill="text1" w:themeFillTint="66"/>
        <w:tcBorders/>
      </w:tcPr>
    </w:tblStylePr>
    <w:tblStylePr w:type="lastCol">
      <w:rPr>
        <w:color w:val="ffffff" w:themeColor="background1"/>
      </w:rPr>
      <w:pPr>
        <w:pBdr/>
        <w:spacing/>
        <w:ind/>
      </w:pPr>
      <w:tblPr>
        <w:tblBorders/>
      </w:tblPr>
      <w:tcPr>
        <w:shd w:val="clear" w:color="auto" w:fill="000000" w:themeFill="text1" w:themeFillShade="BF"/>
        <w:tcBorders/>
      </w:tcPr>
    </w:tblStylePr>
    <w:tblStylePr w:type="lastRow">
      <w:rPr>
        <w:b/>
        <w:bCs/>
        <w:color w:val="000000" w:themeColor="text1"/>
      </w:rPr>
      <w:pPr>
        <w:pBdr/>
        <w:spacing/>
        <w:ind/>
      </w:pPr>
      <w:tblPr>
        <w:tblBorders/>
      </w:tblPr>
      <w:tcPr>
        <w:shd w:val="clear" w:color="auto" w:fill="999999" w:themeFill="tex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6">
    <w:name w:val="Colorful Grid Accent 1"/>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be5f1" w:themeFill="accent1" w:themeFillTint="33"/>
      <w:tcBorders/>
    </w:tcPr>
    <w:tblStylePr w:type="band1Horz">
      <w:pPr>
        <w:pBdr/>
        <w:spacing/>
        <w:ind/>
      </w:pPr>
      <w:tblPr>
        <w:tblBorders/>
      </w:tblPr>
      <w:tcPr>
        <w:shd w:val="clear" w:color="auto" w:fill="a7bfde" w:themeFill="accent1" w:themeFillTint="7F"/>
        <w:tcBorders/>
      </w:tcPr>
    </w:tblStylePr>
    <w:tblStylePr w:type="band1Vert">
      <w:pPr>
        <w:pBdr/>
        <w:spacing/>
        <w:ind/>
      </w:pPr>
      <w:tblPr>
        <w:tblBorders/>
      </w:tblPr>
      <w:tcPr>
        <w:shd w:val="clear" w:color="auto" w:fill="a7bfde" w:themeFill="accent1"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65f91" w:themeFill="accent1" w:themeFillShade="BF"/>
        <w:tcBorders/>
      </w:tcPr>
    </w:tblStylePr>
    <w:tblStylePr w:type="firstRow">
      <w:rPr>
        <w:b/>
        <w:bCs/>
      </w:rPr>
      <w:pPr>
        <w:pBdr/>
        <w:spacing/>
        <w:ind/>
      </w:pPr>
      <w:tblPr>
        <w:tblBorders/>
      </w:tblPr>
      <w:tcPr>
        <w:shd w:val="clear" w:color="auto" w:fill="b8cce4" w:themeFill="accent1" w:themeFillTint="66"/>
        <w:tcBorders/>
      </w:tcPr>
    </w:tblStylePr>
    <w:tblStylePr w:type="lastCol">
      <w:rPr>
        <w:color w:val="ffffff" w:themeColor="background1"/>
      </w:rPr>
      <w:pPr>
        <w:pBdr/>
        <w:spacing/>
        <w:ind/>
      </w:pPr>
      <w:tblPr>
        <w:tblBorders/>
      </w:tblPr>
      <w:tcPr>
        <w:shd w:val="clear" w:color="auto" w:fill="365f91" w:themeFill="accent1" w:themeFillShade="BF"/>
        <w:tcBorders/>
      </w:tcPr>
    </w:tblStylePr>
    <w:tblStylePr w:type="lastRow">
      <w:rPr>
        <w:b/>
        <w:bCs/>
        <w:color w:val="000000" w:themeColor="text1"/>
      </w:rPr>
      <w:pPr>
        <w:pBdr/>
        <w:spacing/>
        <w:ind/>
      </w:pPr>
      <w:tblPr>
        <w:tblBorders/>
      </w:tblPr>
      <w:tcPr>
        <w:shd w:val="clear" w:color="auto" w:fill="b8cce4" w:themeFill="accent1"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7">
    <w:name w:val="Colorful Grid Accent 2"/>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2dbdb" w:themeFill="accent2" w:themeFillTint="33"/>
      <w:tcBorders/>
    </w:tcPr>
    <w:tblStylePr w:type="band1Horz">
      <w:pPr>
        <w:pBdr/>
        <w:spacing/>
        <w:ind/>
      </w:pPr>
      <w:tblPr>
        <w:tblBorders/>
      </w:tblPr>
      <w:tcPr>
        <w:shd w:val="clear" w:color="auto" w:fill="dfa7a6" w:themeFill="accent2" w:themeFillTint="7F"/>
        <w:tcBorders/>
      </w:tcPr>
    </w:tblStylePr>
    <w:tblStylePr w:type="band1Vert">
      <w:pPr>
        <w:pBdr/>
        <w:spacing/>
        <w:ind/>
      </w:pPr>
      <w:tblPr>
        <w:tblBorders/>
      </w:tblPr>
      <w:tcPr>
        <w:shd w:val="clear" w:color="auto" w:fill="dfa7a6" w:themeFill="accent2"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943634" w:themeFill="accent2" w:themeFillShade="BF"/>
        <w:tcBorders/>
      </w:tcPr>
    </w:tblStylePr>
    <w:tblStylePr w:type="firstRow">
      <w:rPr>
        <w:b/>
        <w:bCs/>
      </w:rPr>
      <w:pPr>
        <w:pBdr/>
        <w:spacing/>
        <w:ind/>
      </w:pPr>
      <w:tblPr>
        <w:tblBorders/>
      </w:tblPr>
      <w:tcPr>
        <w:shd w:val="clear" w:color="auto" w:fill="e5b8b7" w:themeFill="accent2" w:themeFillTint="66"/>
        <w:tcBorders/>
      </w:tcPr>
    </w:tblStylePr>
    <w:tblStylePr w:type="lastCol">
      <w:rPr>
        <w:color w:val="ffffff" w:themeColor="background1"/>
      </w:rPr>
      <w:pPr>
        <w:pBdr/>
        <w:spacing/>
        <w:ind/>
      </w:pPr>
      <w:tblPr>
        <w:tblBorders/>
      </w:tblPr>
      <w:tcPr>
        <w:shd w:val="clear" w:color="auto" w:fill="943634" w:themeFill="accent2" w:themeFillShade="BF"/>
        <w:tcBorders/>
      </w:tcPr>
    </w:tblStylePr>
    <w:tblStylePr w:type="lastRow">
      <w:rPr>
        <w:b/>
        <w:bCs/>
        <w:color w:val="000000" w:themeColor="text1"/>
      </w:rPr>
      <w:pPr>
        <w:pBdr/>
        <w:spacing/>
        <w:ind/>
      </w:pPr>
      <w:tblPr>
        <w:tblBorders/>
      </w:tblPr>
      <w:tcPr>
        <w:shd w:val="clear" w:color="auto" w:fill="e5b8b7" w:themeFill="accent2"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8">
    <w:name w:val="Colorful Grid Accent 3"/>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af1dd" w:themeFill="accent3" w:themeFillTint="33"/>
      <w:tcBorders/>
    </w:tcPr>
    <w:tblStylePr w:type="band1Horz">
      <w:pPr>
        <w:pBdr/>
        <w:spacing/>
        <w:ind/>
      </w:pPr>
      <w:tblPr>
        <w:tblBorders/>
      </w:tblPr>
      <w:tcPr>
        <w:shd w:val="clear" w:color="auto" w:fill="cdddac" w:themeFill="accent3" w:themeFillTint="7F"/>
        <w:tcBorders/>
      </w:tcPr>
    </w:tblStylePr>
    <w:tblStylePr w:type="band1Vert">
      <w:pPr>
        <w:pBdr/>
        <w:spacing/>
        <w:ind/>
      </w:pPr>
      <w:tblPr>
        <w:tblBorders/>
      </w:tblPr>
      <w:tcPr>
        <w:shd w:val="clear" w:color="auto" w:fill="cdddac" w:themeFill="accent3"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76923c" w:themeFill="accent3" w:themeFillShade="BF"/>
        <w:tcBorders/>
      </w:tcPr>
    </w:tblStylePr>
    <w:tblStylePr w:type="firstRow">
      <w:rPr>
        <w:b/>
        <w:bCs/>
      </w:rPr>
      <w:pPr>
        <w:pBdr/>
        <w:spacing/>
        <w:ind/>
      </w:pPr>
      <w:tblPr>
        <w:tblBorders/>
      </w:tblPr>
      <w:tcPr>
        <w:shd w:val="clear" w:color="auto" w:fill="d6e3bc" w:themeFill="accent3" w:themeFillTint="66"/>
        <w:tcBorders/>
      </w:tcPr>
    </w:tblStylePr>
    <w:tblStylePr w:type="lastCol">
      <w:rPr>
        <w:color w:val="ffffff" w:themeColor="background1"/>
      </w:rPr>
      <w:pPr>
        <w:pBdr/>
        <w:spacing/>
        <w:ind/>
      </w:pPr>
      <w:tblPr>
        <w:tblBorders/>
      </w:tblPr>
      <w:tcPr>
        <w:shd w:val="clear" w:color="auto" w:fill="76923c" w:themeFill="accent3" w:themeFillShade="BF"/>
        <w:tcBorders/>
      </w:tcPr>
    </w:tblStylePr>
    <w:tblStylePr w:type="lastRow">
      <w:rPr>
        <w:b/>
        <w:bCs/>
        <w:color w:val="000000" w:themeColor="text1"/>
      </w:rPr>
      <w:pPr>
        <w:pBdr/>
        <w:spacing/>
        <w:ind/>
      </w:pPr>
      <w:tblPr>
        <w:tblBorders/>
      </w:tblPr>
      <w:tcPr>
        <w:shd w:val="clear" w:color="auto" w:fill="d6e3bc" w:themeFill="accent3"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29">
    <w:name w:val="Colorful Grid Accent 4"/>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e5dfec" w:themeFill="accent4" w:themeFillTint="33"/>
      <w:tcBorders/>
    </w:tcPr>
    <w:tblStylePr w:type="band1Horz">
      <w:pPr>
        <w:pBdr/>
        <w:spacing/>
        <w:ind/>
      </w:pPr>
      <w:tblPr>
        <w:tblBorders/>
      </w:tblPr>
      <w:tcPr>
        <w:shd w:val="clear" w:color="auto" w:fill="bfb1d0" w:themeFill="accent4" w:themeFillTint="7F"/>
        <w:tcBorders/>
      </w:tcPr>
    </w:tblStylePr>
    <w:tblStylePr w:type="band1Vert">
      <w:pPr>
        <w:pBdr/>
        <w:spacing/>
        <w:ind/>
      </w:pPr>
      <w:tblPr>
        <w:tblBorders/>
      </w:tblPr>
      <w:tcPr>
        <w:shd w:val="clear" w:color="auto" w:fill="bfb1d0" w:themeFill="accent4"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5f497a" w:themeFill="accent4" w:themeFillShade="BF"/>
        <w:tcBorders/>
      </w:tcPr>
    </w:tblStylePr>
    <w:tblStylePr w:type="firstRow">
      <w:rPr>
        <w:b/>
        <w:bCs/>
      </w:rPr>
      <w:pPr>
        <w:pBdr/>
        <w:spacing/>
        <w:ind/>
      </w:pPr>
      <w:tblPr>
        <w:tblBorders/>
      </w:tblPr>
      <w:tcPr>
        <w:shd w:val="clear" w:color="auto" w:fill="ccc0d9" w:themeFill="accent4" w:themeFillTint="66"/>
        <w:tcBorders/>
      </w:tcPr>
    </w:tblStylePr>
    <w:tblStylePr w:type="lastCol">
      <w:rPr>
        <w:color w:val="ffffff" w:themeColor="background1"/>
      </w:rPr>
      <w:pPr>
        <w:pBdr/>
        <w:spacing/>
        <w:ind/>
      </w:pPr>
      <w:tblPr>
        <w:tblBorders/>
      </w:tblPr>
      <w:tcPr>
        <w:shd w:val="clear" w:color="auto" w:fill="5f497a" w:themeFill="accent4" w:themeFillShade="BF"/>
        <w:tcBorders/>
      </w:tcPr>
    </w:tblStylePr>
    <w:tblStylePr w:type="lastRow">
      <w:rPr>
        <w:b/>
        <w:bCs/>
        <w:color w:val="000000" w:themeColor="text1"/>
      </w:rPr>
      <w:pPr>
        <w:pBdr/>
        <w:spacing/>
        <w:ind/>
      </w:pPr>
      <w:tblPr>
        <w:tblBorders/>
      </w:tblPr>
      <w:tcPr>
        <w:shd w:val="clear" w:color="auto" w:fill="ccc0d9" w:themeFill="accent4"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0">
    <w:name w:val="Colorful Grid Accent 5"/>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daeef3" w:themeFill="accent5" w:themeFillTint="33"/>
      <w:tcBorders/>
    </w:tcPr>
    <w:tblStylePr w:type="band1Horz">
      <w:pPr>
        <w:pBdr/>
        <w:spacing/>
        <w:ind/>
      </w:pPr>
      <w:tblPr>
        <w:tblBorders/>
      </w:tblPr>
      <w:tcPr>
        <w:shd w:val="clear" w:color="auto" w:fill="a5d5e2" w:themeFill="accent5" w:themeFillTint="7F"/>
        <w:tcBorders/>
      </w:tcPr>
    </w:tblStylePr>
    <w:tblStylePr w:type="band1Vert">
      <w:pPr>
        <w:pBdr/>
        <w:spacing/>
        <w:ind/>
      </w:pPr>
      <w:tblPr>
        <w:tblBorders/>
      </w:tblPr>
      <w:tcPr>
        <w:shd w:val="clear" w:color="auto" w:fill="a5d5e2" w:themeFill="accent5"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31849b" w:themeFill="accent5" w:themeFillShade="BF"/>
        <w:tcBorders/>
      </w:tcPr>
    </w:tblStylePr>
    <w:tblStylePr w:type="firstRow">
      <w:rPr>
        <w:b/>
        <w:bCs/>
      </w:rPr>
      <w:pPr>
        <w:pBdr/>
        <w:spacing/>
        <w:ind/>
      </w:pPr>
      <w:tblPr>
        <w:tblBorders/>
      </w:tblPr>
      <w:tcPr>
        <w:shd w:val="clear" w:color="auto" w:fill="b6dde8" w:themeFill="accent5" w:themeFillTint="66"/>
        <w:tcBorders/>
      </w:tcPr>
    </w:tblStylePr>
    <w:tblStylePr w:type="lastCol">
      <w:rPr>
        <w:color w:val="ffffff" w:themeColor="background1"/>
      </w:rPr>
      <w:pPr>
        <w:pBdr/>
        <w:spacing/>
        <w:ind/>
      </w:pPr>
      <w:tblPr>
        <w:tblBorders/>
      </w:tblPr>
      <w:tcPr>
        <w:shd w:val="clear" w:color="auto" w:fill="31849b" w:themeFill="accent5" w:themeFillShade="BF"/>
        <w:tcBorders/>
      </w:tcPr>
    </w:tblStylePr>
    <w:tblStylePr w:type="lastRow">
      <w:rPr>
        <w:b/>
        <w:bCs/>
        <w:color w:val="000000" w:themeColor="text1"/>
      </w:rPr>
      <w:pPr>
        <w:pBdr/>
        <w:spacing/>
        <w:ind/>
      </w:pPr>
      <w:tblPr>
        <w:tblBorders/>
      </w:tblPr>
      <w:tcPr>
        <w:shd w:val="clear" w:color="auto" w:fill="b6dde8" w:themeFill="accent5"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31">
    <w:name w:val="Colorful Grid Accent 6"/>
    <w:basedOn w:val="983"/>
    <w:uiPriority w:val="73"/>
    <w:pPr>
      <w:pBdr/>
      <w:spacing w:after="0" w:line="240" w:lineRule="auto"/>
      <w:ind/>
    </w:pPr>
    <w:rPr>
      <w:color w:val="000000" w:themeColor="text1"/>
    </w:rPr>
    <w:tblPr>
      <w:tblStyleRowBandSize w:val="1"/>
      <w:tblStyleColBandSize w:val="1"/>
      <w:tblInd w:w="0" w:type="dxa"/>
      <w:tblCellMar>
        <w:left w:w="108" w:type="dxa"/>
        <w:top w:w="0" w:type="dxa"/>
        <w:right w:w="108" w:type="dxa"/>
        <w:bottom w:w="0" w:type="dxa"/>
      </w:tblCellMar>
      <w:tblBorders>
        <w:insideH w:val="single" w:color="ffffff" w:themeColor="background1" w:sz="4" w:space="0"/>
      </w:tblBorders>
    </w:tblPr>
    <w:tcPr>
      <w:shd w:val="clear" w:color="auto" w:fill="fde9d9" w:themeFill="accent6" w:themeFillTint="33"/>
      <w:tcBorders/>
    </w:tcPr>
    <w:tblStylePr w:type="band1Horz">
      <w:pPr>
        <w:pBdr/>
        <w:spacing/>
        <w:ind/>
      </w:pPr>
      <w:tblPr>
        <w:tblBorders/>
      </w:tblPr>
      <w:tcPr>
        <w:shd w:val="clear" w:color="auto" w:fill="fbcaa2" w:themeFill="accent6" w:themeFillTint="7F"/>
        <w:tcBorders/>
      </w:tcPr>
    </w:tblStylePr>
    <w:tblStylePr w:type="band1Vert">
      <w:pPr>
        <w:pBdr/>
        <w:spacing/>
        <w:ind/>
      </w:pPr>
      <w:tblPr>
        <w:tblBorders/>
      </w:tblPr>
      <w:tcPr>
        <w:shd w:val="clear" w:color="auto" w:fill="fbcaa2" w:themeFill="accent6" w:themeFillTint="7F"/>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color w:val="ffffff" w:themeColor="background1"/>
      </w:rPr>
      <w:pPr>
        <w:pBdr/>
        <w:spacing/>
        <w:ind/>
      </w:pPr>
      <w:tblPr>
        <w:tblBorders/>
      </w:tblPr>
      <w:tcPr>
        <w:shd w:val="clear" w:color="auto" w:fill="e36c0a" w:themeFill="accent6" w:themeFillShade="BF"/>
        <w:tcBorders/>
      </w:tcPr>
    </w:tblStylePr>
    <w:tblStylePr w:type="firstRow">
      <w:rPr>
        <w:b/>
        <w:bCs/>
      </w:rPr>
      <w:pPr>
        <w:pBdr/>
        <w:spacing/>
        <w:ind/>
      </w:pPr>
      <w:tblPr>
        <w:tblBorders/>
      </w:tblPr>
      <w:tcPr>
        <w:shd w:val="clear" w:color="auto" w:fill="fbd4b4" w:themeFill="accent6" w:themeFillTint="66"/>
        <w:tcBorders/>
      </w:tcPr>
    </w:tblStylePr>
    <w:tblStylePr w:type="lastCol">
      <w:rPr>
        <w:color w:val="ffffff" w:themeColor="background1"/>
      </w:rPr>
      <w:pPr>
        <w:pBdr/>
        <w:spacing/>
        <w:ind/>
      </w:pPr>
      <w:tblPr>
        <w:tblBorders/>
      </w:tblPr>
      <w:tcPr>
        <w:shd w:val="clear" w:color="auto" w:fill="e36c0a" w:themeFill="accent6" w:themeFillShade="BF"/>
        <w:tcBorders/>
      </w:tcPr>
    </w:tblStylePr>
    <w:tblStylePr w:type="lastRow">
      <w:rPr>
        <w:b/>
        <w:bCs/>
        <w:color w:val="000000" w:themeColor="text1"/>
      </w:rPr>
      <w:pPr>
        <w:pBdr/>
        <w:spacing/>
        <w:ind/>
      </w:pPr>
      <w:tblPr>
        <w:tblBorders/>
      </w:tblPr>
      <w:tcPr>
        <w:shd w:val="clear" w:color="auto" w:fill="fbd4b4" w:themeFill="accent6" w:themeFillTint="6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glossaryDocument" Target="glossary/document.xml"/><Relationship Id="rId7" Type="http://schemas.openxmlformats.org/officeDocument/2006/relationships/numbering" Target="numbering.xml"/><Relationship Id="rId8" Type="http://schemas.openxmlformats.org/officeDocument/2006/relationships/footnotes" Target="footnotes.xml"/><Relationship Id="rId9" Type="http://schemas.openxmlformats.org/officeDocument/2006/relationships/endnotes" Target="endnotes.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customXml" Target="../customXml/item1.xml"/><Relationship Id="rId13" Type="http://schemas.openxmlformats.org/officeDocument/2006/relationships/image" Target="media/image1.png"/><Relationship Id="rId14" Type="http://schemas.openxmlformats.org/officeDocument/2006/relationships/header" Target="header2.xml"/><Relationship Id="rId15" Type="http://schemas.openxmlformats.org/officeDocument/2006/relationships/footer" Target="footer2.xml"/><Relationship Id="rId16" Type="http://schemas.openxmlformats.org/officeDocument/2006/relationships/image" Target="media/image2.png"/><Relationship Id="rId17" Type="http://schemas.openxmlformats.org/officeDocument/2006/relationships/hyperlink" Target="MDR_Mandatory_Documents_and_Records_Register.xlsx" TargetMode="External"/><Relationship Id="rId18" Type="http://schemas.openxmlformats.org/officeDocument/2006/relationships/hyperlink" Target="DR_Document_Register.xlsx" TargetMode="External"/><Relationship Id="rId19" Type="http://schemas.openxmlformats.org/officeDocument/2006/relationships/hyperlink" Target="RRS_Records_Retention_Schedule_Register.xlsx" TargetMode="External"/><Relationship Id="rId20" Type="http://schemas.openxmlformats.org/officeDocument/2006/relationships/hyperlink" Target="AI_Asset_Inventory.xlsx" TargetMode="External"/><Relationship Id="rId21" Type="http://schemas.openxmlformats.org/officeDocument/2006/relationships/hyperlink" Target="DPIA_Data_Protection_Impact_Assessment_Plan.docx" TargetMode="External"/><Relationship Id="rId22" Type="http://schemas.openxmlformats.org/officeDocument/2006/relationships/hyperlink" Target="UAI_Users_and_Access_Inventory.xlsx" TargetMode="External"/><Relationship Id="rId23" Type="http://schemas.openxmlformats.org/officeDocument/2006/relationships/hyperlink" Target="CR_Context_Register.xlsx" TargetMode="External"/><Relationship Id="rId24" Type="http://schemas.openxmlformats.org/officeDocument/2006/relationships/hyperlink" Target="CSRM_Cloud_Shared_Responsibility_Matrix.xlsx" TargetMode="External"/><Relationship Id="rId25" Type="http://schemas.openxmlformats.org/officeDocument/2006/relationships/hyperlink" Target="https://www.iso.org/standard/82875.html" TargetMode="External"/><Relationship Id="rId26" Type="http://schemas.openxmlformats.org/officeDocument/2006/relationships/hyperlink" Target="https://www.amazon.com/dp/9789908983448" TargetMode="External"/><Relationship Id="rId27" Type="http://schemas.openxmlformats.org/officeDocument/2006/relationships/hyperlink" Target="https://www.amazon.com/dp/9789908983455" TargetMode="External"/><Relationship Id="rId28" Type="http://schemas.openxmlformats.org/officeDocument/2006/relationships/hyperlink" Target="https://www.amazon.com/dp/9789908983462"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footnotes" Target="footnotes.xml"/><Relationship Id="rId6" Type="http://schemas.openxmlformats.org/officeDocument/2006/relationships/endnotes" Target="endnot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Parts>
    <w:docPart>
      <w:docPartPr>
        <w:name w:val="DefaultPlaceholder_TEXT"/>
        <w:category>
          <w:name w:val="Common"/>
          <w:gallery w:val="placeholder"/>
        </w:category>
        <w:types>
          <w:type w:val="bbPlcHdr"/>
        </w:types>
        <w:behaviors>
          <w:behavior w:val="content"/>
        </w:behaviors>
      </w:docPartPr>
      <w:docPartBody>
        <w:p>
          <w:pPr>
            <w:pBdr/>
            <w:spacing/>
            <w:ind/>
            <w:rPr/>
          </w:pPr>
          <w:r>
            <w:rPr>
              <w:rStyle w:val="966"/>
            </w:rPr>
            <w:t xml:space="preserve">Hier den Text eingeben</w:t>
          </w:r>
          <w:r/>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font>
  <w:font w:name="Calibri">
    <w:panose1 w:val="020F0502020204030204"/>
  </w:font>
  <w:font w:name="Times New Roman">
    <w:panose1 w:val="02020603050405020304"/>
  </w:font>
  <w:font w:name="Cambria">
    <w:panose1 w:val="02040503050406030204"/>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63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6">
    <w:name w:val="Table Grid"/>
    <w:basedOn w:val="1635"/>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7">
    <w:name w:val="Table Grid Light"/>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8">
    <w:name w:val="Plain Table 1"/>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39">
    <w:name w:val="Plain Table 2"/>
    <w:basedOn w:val="163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0">
    <w:name w:val="Plain Table 3"/>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1">
    <w:name w:val="Plain Table 4"/>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2">
    <w:name w:val="Plain Table 5"/>
    <w:basedOn w:val="163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3">
    <w:name w:val="Grid Table 1 Light"/>
    <w:basedOn w:val="163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4">
    <w:name w:val="Grid Table 1 Light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5">
    <w:name w:val="Grid Table 1 Light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6">
    <w:name w:val="Grid Table 1 Light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7">
    <w:name w:val="Grid Table 1 Light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8">
    <w:name w:val="Grid Table 1 Light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49">
    <w:name w:val="Grid Table 1 Light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0">
    <w:name w:val="Grid Table 2"/>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1">
    <w:name w:val="Grid Table 2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2">
    <w:name w:val="Grid Table 2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3">
    <w:name w:val="Grid Table 2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4">
    <w:name w:val="Grid Table 2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5">
    <w:name w:val="Grid Table 2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6">
    <w:name w:val="Grid Table 2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7">
    <w:name w:val="Grid Table 3"/>
    <w:basedOn w:val="163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8">
    <w:name w:val="Grid Table 3 - Accent 1"/>
    <w:basedOn w:val="163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59">
    <w:name w:val="Grid Table 3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0">
    <w:name w:val="Grid Table 3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1">
    <w:name w:val="Grid Table 3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2">
    <w:name w:val="Grid Table 3 - Accent 5"/>
    <w:basedOn w:val="163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3">
    <w:name w:val="Grid Table 3 - Accent 6"/>
    <w:basedOn w:val="163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4">
    <w:name w:val="Grid Table 4"/>
    <w:basedOn w:val="163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5">
    <w:name w:val="Grid Table 4 - Accent 1"/>
    <w:basedOn w:val="163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6">
    <w:name w:val="Grid Table 4 - Accent 2"/>
    <w:basedOn w:val="163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7">
    <w:name w:val="Grid Table 4 - Accent 3"/>
    <w:basedOn w:val="163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8">
    <w:name w:val="Grid Table 4 - Accent 4"/>
    <w:basedOn w:val="163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69">
    <w:name w:val="Grid Table 4 - Accent 5"/>
    <w:basedOn w:val="163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0">
    <w:name w:val="Grid Table 4 - Accent 6"/>
    <w:basedOn w:val="163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1">
    <w:name w:val="Grid Table 5 Dark"/>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2">
    <w:name w:val="Grid Table 5 Dark- Accent 1"/>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3">
    <w:name w:val="Grid Table 5 Dark - Accent 2"/>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4">
    <w:name w:val="Grid Table 5 Dark - Accent 3"/>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5">
    <w:name w:val="Grid Table 5 Dark- Accent 4"/>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6">
    <w:name w:val="Grid Table 5 Dark - Accent 5"/>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7">
    <w:name w:val="Grid Table 5 Dark - Accent 6"/>
    <w:basedOn w:val="163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78">
    <w:name w:val="Grid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1679">
    <w:name w:val="Grid Table 6 Colorful - Accent 1"/>
    <w:basedOn w:val="163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1680">
    <w:name w:val="Grid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1681">
    <w:name w:val="Grid Table 6 Colorful - Accent 3"/>
    <w:basedOn w:val="163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1682">
    <w:name w:val="Grid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1683">
    <w:name w:val="Grid Table 6 Colorful - Accent 5"/>
    <w:basedOn w:val="163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4">
    <w:name w:val="Grid Table 6 Colorful - Accent 6"/>
    <w:basedOn w:val="163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1685">
    <w:name w:val="Grid Table 7 Colorful"/>
    <w:basedOn w:val="163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6">
    <w:name w:val="Grid Table 7 Colorful - Accent 1"/>
    <w:basedOn w:val="163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7">
    <w:name w:val="Grid Table 7 Colorful - Accent 2"/>
    <w:basedOn w:val="163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8">
    <w:name w:val="Grid Table 7 Colorful - Accent 3"/>
    <w:basedOn w:val="163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89">
    <w:name w:val="Grid Table 7 Colorful - Accent 4"/>
    <w:basedOn w:val="163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0">
    <w:name w:val="Grid Table 7 Colorful - Accent 5"/>
    <w:basedOn w:val="163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1">
    <w:name w:val="Grid Table 7 Colorful - Accent 6"/>
    <w:basedOn w:val="163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2">
    <w:name w:val="List Table 1 Light"/>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3">
    <w:name w:val="List Table 1 Light - Accent 1"/>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4">
    <w:name w:val="List Table 1 Light - Accent 2"/>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5">
    <w:name w:val="List Table 1 Light - Accent 3"/>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6">
    <w:name w:val="List Table 1 Light - Accent 4"/>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7">
    <w:name w:val="List Table 1 Light - Accent 5"/>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8">
    <w:name w:val="List Table 1 Light - Accent 6"/>
    <w:basedOn w:val="163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99">
    <w:name w:val="List Table 2"/>
    <w:basedOn w:val="163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0">
    <w:name w:val="List Table 2 - Accent 1"/>
    <w:basedOn w:val="163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1">
    <w:name w:val="List Table 2 - Accent 2"/>
    <w:basedOn w:val="163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2">
    <w:name w:val="List Table 2 - Accent 3"/>
    <w:basedOn w:val="163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3">
    <w:name w:val="List Table 2 - Accent 4"/>
    <w:basedOn w:val="163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4">
    <w:name w:val="List Table 2 - Accent 5"/>
    <w:basedOn w:val="163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5">
    <w:name w:val="List Table 2 - Accent 6"/>
    <w:basedOn w:val="163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6">
    <w:name w:val="List Table 3"/>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7">
    <w:name w:val="List Table 3 - Accent 1"/>
    <w:basedOn w:val="163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8">
    <w:name w:val="List Table 3 - Accent 2"/>
    <w:basedOn w:val="163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09">
    <w:name w:val="List Table 3 - Accent 3"/>
    <w:basedOn w:val="163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0">
    <w:name w:val="List Table 3 - Accent 4"/>
    <w:basedOn w:val="163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1">
    <w:name w:val="List Table 3 - Accent 5"/>
    <w:basedOn w:val="163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2">
    <w:name w:val="List Table 3 - Accent 6"/>
    <w:basedOn w:val="163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3">
    <w:name w:val="List Table 4"/>
    <w:basedOn w:val="163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4">
    <w:name w:val="List Table 4 - Accent 1"/>
    <w:basedOn w:val="163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5">
    <w:name w:val="List Table 4 - Accent 2"/>
    <w:basedOn w:val="163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6">
    <w:name w:val="List Table 4 - Accent 3"/>
    <w:basedOn w:val="163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7">
    <w:name w:val="List Table 4 - Accent 4"/>
    <w:basedOn w:val="163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8">
    <w:name w:val="List Table 4 - Accent 5"/>
    <w:basedOn w:val="163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19">
    <w:name w:val="List Table 4 - Accent 6"/>
    <w:basedOn w:val="163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0">
    <w:name w:val="List Table 5 Dark"/>
    <w:basedOn w:val="163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1">
    <w:name w:val="List Table 5 Dark - Accent 1"/>
    <w:basedOn w:val="163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2">
    <w:name w:val="List Table 5 Dark - Accent 2"/>
    <w:basedOn w:val="163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3">
    <w:name w:val="List Table 5 Dark - Accent 3"/>
    <w:basedOn w:val="163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4">
    <w:name w:val="List Table 5 Dark - Accent 4"/>
    <w:basedOn w:val="163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5">
    <w:name w:val="List Table 5 Dark - Accent 5"/>
    <w:basedOn w:val="163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6">
    <w:name w:val="List Table 5 Dark - Accent 6"/>
    <w:basedOn w:val="163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727">
    <w:name w:val="List Table 6 Colorful"/>
    <w:basedOn w:val="163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8">
    <w:name w:val="List Table 6 Colorful - Accent 1"/>
    <w:basedOn w:val="163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29">
    <w:name w:val="List Table 6 Colorful - Accent 2"/>
    <w:basedOn w:val="163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0">
    <w:name w:val="List Table 6 Colorful - Accent 3"/>
    <w:basedOn w:val="163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1">
    <w:name w:val="List Table 6 Colorful - Accent 4"/>
    <w:basedOn w:val="163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2">
    <w:name w:val="List Table 6 Colorful - Accent 5"/>
    <w:basedOn w:val="163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3">
    <w:name w:val="List Table 6 Colorful - Accent 6"/>
    <w:basedOn w:val="163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34">
    <w:name w:val="List Table 7 Colorful"/>
    <w:basedOn w:val="163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735">
    <w:name w:val="List Table 7 Colorful - Accent 1"/>
    <w:basedOn w:val="163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736">
    <w:name w:val="List Table 7 Colorful - Accent 2"/>
    <w:basedOn w:val="163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737">
    <w:name w:val="List Table 7 Colorful - Accent 3"/>
    <w:basedOn w:val="163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738">
    <w:name w:val="List Table 7 Colorful - Accent 4"/>
    <w:basedOn w:val="163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739">
    <w:name w:val="List Table 7 Colorful - Accent 5"/>
    <w:basedOn w:val="163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740">
    <w:name w:val="List Table 7 Colorful - Accent 6"/>
    <w:basedOn w:val="163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741">
    <w:name w:val="Lined - Accent"/>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2">
    <w:name w:val="Lined - Accent 1"/>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3">
    <w:name w:val="Lined - Accent 2"/>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4">
    <w:name w:val="Lined - Accent 3"/>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5">
    <w:name w:val="Lined - Accent 4"/>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6">
    <w:name w:val="Lined - Accent 5"/>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7">
    <w:name w:val="Lined - Accent 6"/>
    <w:basedOn w:val="163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8">
    <w:name w:val="Bordered &amp; Lined - Accent"/>
    <w:basedOn w:val="163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49">
    <w:name w:val="Bordered &amp; Lined - Accent 1"/>
    <w:basedOn w:val="163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0">
    <w:name w:val="Bordered &amp; Lined - Accent 2"/>
    <w:basedOn w:val="163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1">
    <w:name w:val="Bordered &amp; Lined - Accent 3"/>
    <w:basedOn w:val="163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2">
    <w:name w:val="Bordered &amp; Lined - Accent 4"/>
    <w:basedOn w:val="163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3">
    <w:name w:val="Bordered &amp; Lined - Accent 5"/>
    <w:basedOn w:val="163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4">
    <w:name w:val="Bordered &amp; Lined - Accent 6"/>
    <w:basedOn w:val="163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5">
    <w:name w:val="Bordered"/>
    <w:basedOn w:val="163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6">
    <w:name w:val="Bordered - Accent 1"/>
    <w:basedOn w:val="163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7">
    <w:name w:val="Bordered - Accent 2"/>
    <w:basedOn w:val="163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8">
    <w:name w:val="Bordered - Accent 3"/>
    <w:basedOn w:val="163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59">
    <w:name w:val="Bordered - Accent 4"/>
    <w:basedOn w:val="163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0">
    <w:name w:val="Bordered - Accent 5"/>
    <w:basedOn w:val="163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61">
    <w:name w:val="Bordered - Accent 6"/>
    <w:basedOn w:val="163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762" w:default="1">
    <w:name w:val="Normal"/>
    <w:qFormat/>
    <w:pPr>
      <w:pBdr/>
      <w:spacing/>
      <w:ind/>
    </w:pPr>
  </w:style>
  <w:style w:type="paragraph" w:styleId="1763">
    <w:name w:val="Heading 1"/>
    <w:basedOn w:val="1762"/>
    <w:next w:val="1762"/>
    <w:link w:val="1774"/>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764">
    <w:name w:val="Heading 2"/>
    <w:basedOn w:val="1762"/>
    <w:next w:val="1762"/>
    <w:link w:val="1775"/>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765">
    <w:name w:val="Heading 3"/>
    <w:basedOn w:val="1762"/>
    <w:next w:val="1762"/>
    <w:link w:val="1776"/>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766">
    <w:name w:val="Heading 4"/>
    <w:basedOn w:val="1762"/>
    <w:next w:val="1762"/>
    <w:link w:val="1777"/>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767">
    <w:name w:val="Heading 5"/>
    <w:basedOn w:val="1762"/>
    <w:next w:val="1762"/>
    <w:link w:val="1778"/>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768">
    <w:name w:val="Heading 6"/>
    <w:basedOn w:val="1762"/>
    <w:next w:val="1762"/>
    <w:link w:val="1779"/>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769">
    <w:name w:val="Heading 7"/>
    <w:basedOn w:val="1762"/>
    <w:next w:val="1762"/>
    <w:link w:val="1780"/>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770">
    <w:name w:val="Heading 8"/>
    <w:basedOn w:val="1762"/>
    <w:next w:val="1762"/>
    <w:link w:val="1781"/>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771">
    <w:name w:val="Heading 9"/>
    <w:basedOn w:val="1762"/>
    <w:next w:val="1762"/>
    <w:link w:val="1782"/>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772" w:default="1">
    <w:name w:val="Default Paragraph Font"/>
    <w:uiPriority w:val="1"/>
    <w:semiHidden/>
    <w:unhideWhenUsed/>
    <w:pPr>
      <w:pBdr/>
      <w:spacing/>
      <w:ind/>
    </w:pPr>
  </w:style>
  <w:style w:type="numbering" w:styleId="1773" w:default="1">
    <w:name w:val="No List"/>
    <w:uiPriority w:val="99"/>
    <w:semiHidden/>
    <w:unhideWhenUsed/>
    <w:pPr>
      <w:pBdr/>
      <w:spacing/>
      <w:ind/>
    </w:pPr>
  </w:style>
  <w:style w:type="character" w:styleId="1774">
    <w:name w:val="Heading 1 Char"/>
    <w:basedOn w:val="1772"/>
    <w:link w:val="1763"/>
    <w:uiPriority w:val="9"/>
    <w:pPr>
      <w:pBdr/>
      <w:spacing/>
      <w:ind/>
    </w:pPr>
    <w:rPr>
      <w:rFonts w:ascii="Arial" w:hAnsi="Arial" w:eastAsia="Arial" w:cs="Arial"/>
      <w:color w:val="0f4761" w:themeColor="accent1" w:themeShade="BF"/>
      <w:sz w:val="40"/>
      <w:szCs w:val="40"/>
    </w:rPr>
  </w:style>
  <w:style w:type="character" w:styleId="1775">
    <w:name w:val="Heading 2 Char"/>
    <w:basedOn w:val="1772"/>
    <w:link w:val="1764"/>
    <w:uiPriority w:val="9"/>
    <w:pPr>
      <w:pBdr/>
      <w:spacing/>
      <w:ind/>
    </w:pPr>
    <w:rPr>
      <w:rFonts w:ascii="Arial" w:hAnsi="Arial" w:eastAsia="Arial" w:cs="Arial"/>
      <w:color w:val="0f4761" w:themeColor="accent1" w:themeShade="BF"/>
      <w:sz w:val="32"/>
      <w:szCs w:val="32"/>
    </w:rPr>
  </w:style>
  <w:style w:type="character" w:styleId="1776">
    <w:name w:val="Heading 3 Char"/>
    <w:basedOn w:val="1772"/>
    <w:link w:val="1765"/>
    <w:uiPriority w:val="9"/>
    <w:pPr>
      <w:pBdr/>
      <w:spacing/>
      <w:ind/>
    </w:pPr>
    <w:rPr>
      <w:rFonts w:ascii="Arial" w:hAnsi="Arial" w:eastAsia="Arial" w:cs="Arial"/>
      <w:color w:val="0f4761" w:themeColor="accent1" w:themeShade="BF"/>
      <w:sz w:val="28"/>
      <w:szCs w:val="28"/>
    </w:rPr>
  </w:style>
  <w:style w:type="character" w:styleId="1777">
    <w:name w:val="Heading 4 Char"/>
    <w:basedOn w:val="1772"/>
    <w:link w:val="1766"/>
    <w:uiPriority w:val="9"/>
    <w:pPr>
      <w:pBdr/>
      <w:spacing/>
      <w:ind/>
    </w:pPr>
    <w:rPr>
      <w:rFonts w:ascii="Arial" w:hAnsi="Arial" w:eastAsia="Arial" w:cs="Arial"/>
      <w:i/>
      <w:iCs/>
      <w:color w:val="0f4761" w:themeColor="accent1" w:themeShade="BF"/>
    </w:rPr>
  </w:style>
  <w:style w:type="character" w:styleId="1778">
    <w:name w:val="Heading 5 Char"/>
    <w:basedOn w:val="1772"/>
    <w:link w:val="1767"/>
    <w:uiPriority w:val="9"/>
    <w:pPr>
      <w:pBdr/>
      <w:spacing/>
      <w:ind/>
    </w:pPr>
    <w:rPr>
      <w:rFonts w:ascii="Arial" w:hAnsi="Arial" w:eastAsia="Arial" w:cs="Arial"/>
      <w:color w:val="0f4761" w:themeColor="accent1" w:themeShade="BF"/>
    </w:rPr>
  </w:style>
  <w:style w:type="character" w:styleId="1779">
    <w:name w:val="Heading 6 Char"/>
    <w:basedOn w:val="1772"/>
    <w:link w:val="1768"/>
    <w:uiPriority w:val="9"/>
    <w:pPr>
      <w:pBdr/>
      <w:spacing/>
      <w:ind/>
    </w:pPr>
    <w:rPr>
      <w:rFonts w:ascii="Arial" w:hAnsi="Arial" w:eastAsia="Arial" w:cs="Arial"/>
      <w:i/>
      <w:iCs/>
      <w:color w:val="595959" w:themeColor="text1" w:themeTint="A6"/>
    </w:rPr>
  </w:style>
  <w:style w:type="character" w:styleId="1780">
    <w:name w:val="Heading 7 Char"/>
    <w:basedOn w:val="1772"/>
    <w:link w:val="1769"/>
    <w:uiPriority w:val="9"/>
    <w:pPr>
      <w:pBdr/>
      <w:spacing/>
      <w:ind/>
    </w:pPr>
    <w:rPr>
      <w:rFonts w:ascii="Arial" w:hAnsi="Arial" w:eastAsia="Arial" w:cs="Arial"/>
      <w:color w:val="595959" w:themeColor="text1" w:themeTint="A6"/>
    </w:rPr>
  </w:style>
  <w:style w:type="character" w:styleId="1781">
    <w:name w:val="Heading 8 Char"/>
    <w:basedOn w:val="1772"/>
    <w:link w:val="1770"/>
    <w:uiPriority w:val="9"/>
    <w:pPr>
      <w:pBdr/>
      <w:spacing/>
      <w:ind/>
    </w:pPr>
    <w:rPr>
      <w:rFonts w:ascii="Arial" w:hAnsi="Arial" w:eastAsia="Arial" w:cs="Arial"/>
      <w:i/>
      <w:iCs/>
      <w:color w:val="272727" w:themeColor="text1" w:themeTint="D8"/>
    </w:rPr>
  </w:style>
  <w:style w:type="character" w:styleId="1782">
    <w:name w:val="Heading 9 Char"/>
    <w:basedOn w:val="1772"/>
    <w:link w:val="1771"/>
    <w:uiPriority w:val="9"/>
    <w:pPr>
      <w:pBdr/>
      <w:spacing/>
      <w:ind/>
    </w:pPr>
    <w:rPr>
      <w:rFonts w:ascii="Arial" w:hAnsi="Arial" w:eastAsia="Arial" w:cs="Arial"/>
      <w:i/>
      <w:iCs/>
      <w:color w:val="272727" w:themeColor="text1" w:themeTint="D8"/>
    </w:rPr>
  </w:style>
  <w:style w:type="paragraph" w:styleId="1783">
    <w:name w:val="Title"/>
    <w:basedOn w:val="1762"/>
    <w:next w:val="1762"/>
    <w:link w:val="1784"/>
    <w:uiPriority w:val="10"/>
    <w:qFormat/>
    <w:pPr>
      <w:pBdr/>
      <w:spacing w:after="80" w:line="240" w:lineRule="auto"/>
      <w:ind/>
      <w:contextualSpacing w:val="true"/>
    </w:pPr>
    <w:rPr>
      <w:rFonts w:ascii="Arial" w:hAnsi="Arial" w:eastAsia="Arial" w:cs="Arial"/>
      <w:spacing w:val="-10"/>
      <w:sz w:val="56"/>
      <w:szCs w:val="56"/>
    </w:rPr>
  </w:style>
  <w:style w:type="character" w:styleId="1784">
    <w:name w:val="Title Char"/>
    <w:basedOn w:val="1772"/>
    <w:link w:val="1783"/>
    <w:uiPriority w:val="10"/>
    <w:pPr>
      <w:pBdr/>
      <w:spacing/>
      <w:ind/>
    </w:pPr>
    <w:rPr>
      <w:rFonts w:ascii="Arial" w:hAnsi="Arial" w:eastAsia="Arial" w:cs="Arial"/>
      <w:spacing w:val="-10"/>
      <w:sz w:val="56"/>
      <w:szCs w:val="56"/>
    </w:rPr>
  </w:style>
  <w:style w:type="paragraph" w:styleId="1785">
    <w:name w:val="Subtitle"/>
    <w:basedOn w:val="1762"/>
    <w:next w:val="1762"/>
    <w:link w:val="1786"/>
    <w:uiPriority w:val="11"/>
    <w:qFormat/>
    <w:pPr>
      <w:numPr>
        <w:ilvl w:val="1"/>
      </w:numPr>
      <w:pBdr/>
      <w:spacing/>
      <w:ind/>
    </w:pPr>
    <w:rPr>
      <w:color w:val="595959" w:themeColor="text1" w:themeTint="A6"/>
      <w:spacing w:val="15"/>
      <w:sz w:val="28"/>
      <w:szCs w:val="28"/>
    </w:rPr>
  </w:style>
  <w:style w:type="character" w:styleId="1786">
    <w:name w:val="Subtitle Char"/>
    <w:basedOn w:val="1772"/>
    <w:link w:val="1785"/>
    <w:uiPriority w:val="11"/>
    <w:pPr>
      <w:pBdr/>
      <w:spacing/>
      <w:ind/>
    </w:pPr>
    <w:rPr>
      <w:color w:val="595959" w:themeColor="text1" w:themeTint="A6"/>
      <w:spacing w:val="15"/>
      <w:sz w:val="28"/>
      <w:szCs w:val="28"/>
    </w:rPr>
  </w:style>
  <w:style w:type="paragraph" w:styleId="1787">
    <w:name w:val="Quote"/>
    <w:basedOn w:val="1762"/>
    <w:next w:val="1762"/>
    <w:link w:val="1788"/>
    <w:uiPriority w:val="29"/>
    <w:qFormat/>
    <w:pPr>
      <w:pBdr/>
      <w:spacing w:before="160"/>
      <w:ind/>
      <w:jc w:val="center"/>
    </w:pPr>
    <w:rPr>
      <w:i/>
      <w:iCs/>
      <w:color w:val="404040" w:themeColor="text1" w:themeTint="BF"/>
    </w:rPr>
  </w:style>
  <w:style w:type="character" w:styleId="1788">
    <w:name w:val="Quote Char"/>
    <w:basedOn w:val="1772"/>
    <w:link w:val="1787"/>
    <w:uiPriority w:val="29"/>
    <w:pPr>
      <w:pBdr/>
      <w:spacing/>
      <w:ind/>
    </w:pPr>
    <w:rPr>
      <w:i/>
      <w:iCs/>
      <w:color w:val="404040" w:themeColor="text1" w:themeTint="BF"/>
    </w:rPr>
  </w:style>
  <w:style w:type="paragraph" w:styleId="1789">
    <w:name w:val="List Paragraph"/>
    <w:basedOn w:val="1762"/>
    <w:uiPriority w:val="34"/>
    <w:qFormat/>
    <w:pPr>
      <w:pBdr/>
      <w:spacing/>
      <w:ind w:left="720"/>
      <w:contextualSpacing w:val="true"/>
    </w:pPr>
  </w:style>
  <w:style w:type="character" w:styleId="1790">
    <w:name w:val="Intense Emphasis"/>
    <w:basedOn w:val="1772"/>
    <w:uiPriority w:val="21"/>
    <w:qFormat/>
    <w:pPr>
      <w:pBdr/>
      <w:spacing/>
      <w:ind/>
    </w:pPr>
    <w:rPr>
      <w:i/>
      <w:iCs/>
      <w:color w:val="0f4761" w:themeColor="accent1" w:themeShade="BF"/>
    </w:rPr>
  </w:style>
  <w:style w:type="paragraph" w:styleId="1791">
    <w:name w:val="Intense Quote"/>
    <w:basedOn w:val="1762"/>
    <w:next w:val="1762"/>
    <w:link w:val="17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792">
    <w:name w:val="Intense Quote Char"/>
    <w:basedOn w:val="1772"/>
    <w:link w:val="1791"/>
    <w:uiPriority w:val="30"/>
    <w:pPr>
      <w:pBdr/>
      <w:spacing/>
      <w:ind/>
    </w:pPr>
    <w:rPr>
      <w:i/>
      <w:iCs/>
      <w:color w:val="0f4761" w:themeColor="accent1" w:themeShade="BF"/>
    </w:rPr>
  </w:style>
  <w:style w:type="character" w:styleId="1793">
    <w:name w:val="Intense Reference"/>
    <w:basedOn w:val="1772"/>
    <w:uiPriority w:val="32"/>
    <w:qFormat/>
    <w:pPr>
      <w:pBdr/>
      <w:spacing/>
      <w:ind/>
    </w:pPr>
    <w:rPr>
      <w:b/>
      <w:bCs/>
      <w:smallCaps/>
      <w:color w:val="0f4761" w:themeColor="accent1" w:themeShade="BF"/>
      <w:spacing w:val="5"/>
    </w:rPr>
  </w:style>
  <w:style w:type="paragraph" w:styleId="1794">
    <w:name w:val="No Spacing"/>
    <w:basedOn w:val="1762"/>
    <w:uiPriority w:val="1"/>
    <w:qFormat/>
    <w:pPr>
      <w:pBdr/>
      <w:spacing w:after="0" w:line="240" w:lineRule="auto"/>
      <w:ind/>
    </w:pPr>
  </w:style>
  <w:style w:type="character" w:styleId="1795">
    <w:name w:val="Subtle Emphasis"/>
    <w:basedOn w:val="1772"/>
    <w:uiPriority w:val="19"/>
    <w:qFormat/>
    <w:pPr>
      <w:pBdr/>
      <w:spacing/>
      <w:ind/>
    </w:pPr>
    <w:rPr>
      <w:i/>
      <w:iCs/>
      <w:color w:val="404040" w:themeColor="text1" w:themeTint="BF"/>
    </w:rPr>
  </w:style>
  <w:style w:type="character" w:styleId="1796">
    <w:name w:val="Emphasis"/>
    <w:basedOn w:val="1772"/>
    <w:uiPriority w:val="20"/>
    <w:qFormat/>
    <w:pPr>
      <w:pBdr/>
      <w:spacing/>
      <w:ind/>
    </w:pPr>
    <w:rPr>
      <w:i/>
      <w:iCs/>
    </w:rPr>
  </w:style>
  <w:style w:type="character" w:styleId="1797">
    <w:name w:val="Strong"/>
    <w:basedOn w:val="1772"/>
    <w:uiPriority w:val="22"/>
    <w:qFormat/>
    <w:pPr>
      <w:pBdr/>
      <w:spacing/>
      <w:ind/>
    </w:pPr>
    <w:rPr>
      <w:b/>
      <w:bCs/>
    </w:rPr>
  </w:style>
  <w:style w:type="character" w:styleId="1798">
    <w:name w:val="Subtle Reference"/>
    <w:basedOn w:val="1772"/>
    <w:uiPriority w:val="31"/>
    <w:qFormat/>
    <w:pPr>
      <w:pBdr/>
      <w:spacing/>
      <w:ind/>
    </w:pPr>
    <w:rPr>
      <w:smallCaps/>
      <w:color w:val="5a5a5a" w:themeColor="text1" w:themeTint="A5"/>
    </w:rPr>
  </w:style>
  <w:style w:type="character" w:styleId="1799">
    <w:name w:val="Book Title"/>
    <w:basedOn w:val="1772"/>
    <w:uiPriority w:val="33"/>
    <w:qFormat/>
    <w:pPr>
      <w:pBdr/>
      <w:spacing/>
      <w:ind/>
    </w:pPr>
    <w:rPr>
      <w:b/>
      <w:bCs/>
      <w:i/>
      <w:iCs/>
      <w:spacing w:val="5"/>
    </w:rPr>
  </w:style>
  <w:style w:type="paragraph" w:styleId="1800">
    <w:name w:val="Header"/>
    <w:basedOn w:val="1762"/>
    <w:link w:val="1801"/>
    <w:uiPriority w:val="99"/>
    <w:unhideWhenUsed/>
    <w:pPr>
      <w:pBdr/>
      <w:tabs>
        <w:tab w:val="center" w:leader="none" w:pos="4844"/>
        <w:tab w:val="right" w:leader="none" w:pos="9689"/>
      </w:tabs>
      <w:spacing w:after="0" w:line="240" w:lineRule="auto"/>
      <w:ind/>
    </w:pPr>
  </w:style>
  <w:style w:type="character" w:styleId="1801">
    <w:name w:val="Header Char"/>
    <w:basedOn w:val="1772"/>
    <w:link w:val="1800"/>
    <w:uiPriority w:val="99"/>
    <w:pPr>
      <w:pBdr/>
      <w:spacing/>
      <w:ind/>
    </w:pPr>
  </w:style>
  <w:style w:type="paragraph" w:styleId="1802">
    <w:name w:val="Footer"/>
    <w:basedOn w:val="1762"/>
    <w:link w:val="1803"/>
    <w:uiPriority w:val="99"/>
    <w:unhideWhenUsed/>
    <w:pPr>
      <w:pBdr/>
      <w:tabs>
        <w:tab w:val="center" w:leader="none" w:pos="4844"/>
        <w:tab w:val="right" w:leader="none" w:pos="9689"/>
      </w:tabs>
      <w:spacing w:after="0" w:line="240" w:lineRule="auto"/>
      <w:ind/>
    </w:pPr>
  </w:style>
  <w:style w:type="character" w:styleId="1803">
    <w:name w:val="Footer Char"/>
    <w:basedOn w:val="1772"/>
    <w:link w:val="1802"/>
    <w:uiPriority w:val="99"/>
    <w:pPr>
      <w:pBdr/>
      <w:spacing/>
      <w:ind/>
    </w:pPr>
  </w:style>
  <w:style w:type="paragraph" w:styleId="1804">
    <w:name w:val="Caption"/>
    <w:basedOn w:val="1762"/>
    <w:next w:val="1762"/>
    <w:uiPriority w:val="35"/>
    <w:unhideWhenUsed/>
    <w:qFormat/>
    <w:pPr>
      <w:pBdr/>
      <w:spacing w:after="200" w:line="240" w:lineRule="auto"/>
      <w:ind/>
    </w:pPr>
    <w:rPr>
      <w:i/>
      <w:iCs/>
      <w:color w:val="0e2841" w:themeColor="text2"/>
      <w:sz w:val="18"/>
      <w:szCs w:val="18"/>
    </w:rPr>
  </w:style>
  <w:style w:type="paragraph" w:styleId="1805">
    <w:name w:val="footnote text"/>
    <w:basedOn w:val="1762"/>
    <w:link w:val="1806"/>
    <w:uiPriority w:val="99"/>
    <w:semiHidden/>
    <w:unhideWhenUsed/>
    <w:pPr>
      <w:pBdr/>
      <w:spacing w:after="0" w:line="240" w:lineRule="auto"/>
      <w:ind/>
    </w:pPr>
    <w:rPr>
      <w:sz w:val="20"/>
      <w:szCs w:val="20"/>
    </w:rPr>
  </w:style>
  <w:style w:type="character" w:styleId="1806">
    <w:name w:val="Footnote Text Char"/>
    <w:basedOn w:val="1772"/>
    <w:link w:val="1805"/>
    <w:uiPriority w:val="99"/>
    <w:semiHidden/>
    <w:pPr>
      <w:pBdr/>
      <w:spacing/>
      <w:ind/>
    </w:pPr>
    <w:rPr>
      <w:sz w:val="20"/>
      <w:szCs w:val="20"/>
    </w:rPr>
  </w:style>
  <w:style w:type="character" w:styleId="1807">
    <w:name w:val="footnote reference"/>
    <w:basedOn w:val="1772"/>
    <w:uiPriority w:val="99"/>
    <w:semiHidden/>
    <w:unhideWhenUsed/>
    <w:pPr>
      <w:pBdr/>
      <w:spacing/>
      <w:ind/>
    </w:pPr>
    <w:rPr>
      <w:vertAlign w:val="superscript"/>
    </w:rPr>
  </w:style>
  <w:style w:type="paragraph" w:styleId="1808">
    <w:name w:val="endnote text"/>
    <w:basedOn w:val="1762"/>
    <w:link w:val="1809"/>
    <w:uiPriority w:val="99"/>
    <w:semiHidden/>
    <w:unhideWhenUsed/>
    <w:pPr>
      <w:pBdr/>
      <w:spacing w:after="0" w:line="240" w:lineRule="auto"/>
      <w:ind/>
    </w:pPr>
    <w:rPr>
      <w:sz w:val="20"/>
      <w:szCs w:val="20"/>
    </w:rPr>
  </w:style>
  <w:style w:type="character" w:styleId="1809">
    <w:name w:val="Endnote Text Char"/>
    <w:basedOn w:val="1772"/>
    <w:link w:val="1808"/>
    <w:uiPriority w:val="99"/>
    <w:semiHidden/>
    <w:pPr>
      <w:pBdr/>
      <w:spacing/>
      <w:ind/>
    </w:pPr>
    <w:rPr>
      <w:sz w:val="20"/>
      <w:szCs w:val="20"/>
    </w:rPr>
  </w:style>
  <w:style w:type="character" w:styleId="1810">
    <w:name w:val="endnote reference"/>
    <w:basedOn w:val="1772"/>
    <w:uiPriority w:val="99"/>
    <w:semiHidden/>
    <w:unhideWhenUsed/>
    <w:pPr>
      <w:pBdr/>
      <w:spacing/>
      <w:ind/>
    </w:pPr>
    <w:rPr>
      <w:vertAlign w:val="superscript"/>
    </w:rPr>
  </w:style>
  <w:style w:type="character" w:styleId="1811">
    <w:name w:val="Hyperlink"/>
    <w:basedOn w:val="1772"/>
    <w:uiPriority w:val="99"/>
    <w:unhideWhenUsed/>
    <w:pPr>
      <w:pBdr/>
      <w:spacing/>
      <w:ind/>
    </w:pPr>
    <w:rPr>
      <w:color w:val="0563c1" w:themeColor="hyperlink"/>
      <w:u w:val="single"/>
    </w:rPr>
  </w:style>
  <w:style w:type="character" w:styleId="1812">
    <w:name w:val="FollowedHyperlink"/>
    <w:basedOn w:val="1772"/>
    <w:uiPriority w:val="99"/>
    <w:semiHidden/>
    <w:unhideWhenUsed/>
    <w:pPr>
      <w:pBdr/>
      <w:spacing/>
      <w:ind/>
    </w:pPr>
    <w:rPr>
      <w:color w:val="954f72" w:themeColor="followedHyperlink"/>
      <w:u w:val="single"/>
    </w:rPr>
  </w:style>
  <w:style w:type="paragraph" w:styleId="1813">
    <w:name w:val="toc 1"/>
    <w:basedOn w:val="1762"/>
    <w:next w:val="1762"/>
    <w:uiPriority w:val="39"/>
    <w:unhideWhenUsed/>
    <w:pPr>
      <w:pBdr/>
      <w:spacing w:after="100"/>
      <w:ind/>
    </w:pPr>
  </w:style>
  <w:style w:type="paragraph" w:styleId="1814">
    <w:name w:val="toc 2"/>
    <w:basedOn w:val="1762"/>
    <w:next w:val="1762"/>
    <w:uiPriority w:val="39"/>
    <w:unhideWhenUsed/>
    <w:pPr>
      <w:pBdr/>
      <w:spacing w:after="100"/>
      <w:ind w:left="220"/>
    </w:pPr>
  </w:style>
  <w:style w:type="paragraph" w:styleId="1815">
    <w:name w:val="toc 3"/>
    <w:basedOn w:val="1762"/>
    <w:next w:val="1762"/>
    <w:uiPriority w:val="39"/>
    <w:unhideWhenUsed/>
    <w:pPr>
      <w:pBdr/>
      <w:spacing w:after="100"/>
      <w:ind w:left="440"/>
    </w:pPr>
  </w:style>
  <w:style w:type="paragraph" w:styleId="1816">
    <w:name w:val="toc 4"/>
    <w:basedOn w:val="1762"/>
    <w:next w:val="1762"/>
    <w:uiPriority w:val="39"/>
    <w:unhideWhenUsed/>
    <w:pPr>
      <w:pBdr/>
      <w:spacing w:after="100"/>
      <w:ind w:left="660"/>
    </w:pPr>
  </w:style>
  <w:style w:type="paragraph" w:styleId="1817">
    <w:name w:val="toc 5"/>
    <w:basedOn w:val="1762"/>
    <w:next w:val="1762"/>
    <w:uiPriority w:val="39"/>
    <w:unhideWhenUsed/>
    <w:pPr>
      <w:pBdr/>
      <w:spacing w:after="100"/>
      <w:ind w:left="880"/>
    </w:pPr>
  </w:style>
  <w:style w:type="paragraph" w:styleId="1818">
    <w:name w:val="toc 6"/>
    <w:basedOn w:val="1762"/>
    <w:next w:val="1762"/>
    <w:uiPriority w:val="39"/>
    <w:unhideWhenUsed/>
    <w:pPr>
      <w:pBdr/>
      <w:spacing w:after="100"/>
      <w:ind w:left="1100"/>
    </w:pPr>
  </w:style>
  <w:style w:type="paragraph" w:styleId="1819">
    <w:name w:val="toc 7"/>
    <w:basedOn w:val="1762"/>
    <w:next w:val="1762"/>
    <w:uiPriority w:val="39"/>
    <w:unhideWhenUsed/>
    <w:pPr>
      <w:pBdr/>
      <w:spacing w:after="100"/>
      <w:ind w:left="1320"/>
    </w:pPr>
  </w:style>
  <w:style w:type="paragraph" w:styleId="1820">
    <w:name w:val="toc 8"/>
    <w:basedOn w:val="1762"/>
    <w:next w:val="1762"/>
    <w:uiPriority w:val="39"/>
    <w:unhideWhenUsed/>
    <w:pPr>
      <w:pBdr/>
      <w:spacing w:after="100"/>
      <w:ind w:left="1540"/>
    </w:pPr>
  </w:style>
  <w:style w:type="paragraph" w:styleId="1821">
    <w:name w:val="toc 9"/>
    <w:basedOn w:val="1762"/>
    <w:next w:val="1762"/>
    <w:uiPriority w:val="39"/>
    <w:unhideWhenUsed/>
    <w:pPr>
      <w:pBdr/>
      <w:spacing w:after="100"/>
      <w:ind w:left="1760"/>
    </w:pPr>
  </w:style>
  <w:style w:type="character" w:styleId="1822">
    <w:name w:val="Placeholder Text"/>
    <w:basedOn w:val="1772"/>
    <w:uiPriority w:val="99"/>
    <w:semiHidden/>
    <w:pPr>
      <w:pBdr/>
      <w:spacing/>
      <w:ind/>
    </w:pPr>
    <w:rPr>
      <w:color w:val="666666"/>
    </w:rPr>
  </w:style>
  <w:style w:type="paragraph" w:styleId="1823">
    <w:name w:val="TOC Heading"/>
    <w:uiPriority w:val="39"/>
    <w:unhideWhenUsed/>
    <w:pPr>
      <w:pBdr/>
      <w:spacing/>
      <w:ind/>
    </w:pPr>
  </w:style>
  <w:style w:type="paragraph" w:styleId="1824">
    <w:name w:val="table of figures"/>
    <w:basedOn w:val="1762"/>
    <w:next w:val="1762"/>
    <w:uiPriority w:val="99"/>
    <w:unhideWhenUsed/>
    <w:pPr>
      <w:pBdr/>
      <w:spacing w:after="0" w:afterAutospacing="0"/>
      <w:ind/>
    </w:pPr>
  </w:style>
</w:styles>
</file>

<file path=word/glossary/webSettings.xml><?xml version="1.0" encoding="utf-8"?>
<w:webSettings xmlns:w="http://schemas.openxmlformats.org/wordprocessingml/2006/main">
  <w:optimizeForBrowser/>
</w:webSetting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ONLYOFFICE/9.4.0.129</Application>
  <DocSecurity>0</DocSecurity>
  <ScaleCrop>0</ScaleCrop>
  <HeadingPairs>
    <vt:vector size="0" baseType="variant"/>
  </HeadingPairs>
  <TitlesOfParts>
    <vt:vector size="0" baseType="lpstr"/>
  </TitlesOfParts>
  <Manager/>
  <Company/>
  <LinksUpToDate>0</LinksUpToDate>
  <SharedDoc>0</SharedDoc>
  <HyperlinkBase/>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Architecture Statement</dc:title>
  <dc:subject>Official ExportableProof Companion Artifact SAS</dc:subject>
  <dc:creator>MessemerTech</dc:creator>
  <cp:keywords/>
  <dc:description>This artifact is part of the official ExportableProof Companion package issued by MessemerTech.</dc:description>
  <cp:revision>7</cp:revision>
  <dcterms:created xsi:type="dcterms:W3CDTF">2013-12-23T23:15:00Z</dcterms:created>
  <dcterms:modified xsi:type="dcterms:W3CDTF">2026-09-01T14:29:16Z</dcterms:modified>
  <cp:category>Statement</cp:category>
</cp:coreProperties>
</file>