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Risk Management Plan</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shows the operating workflow for information security risk management at Arcfield. It connects risk criteria, scenario identification, assessment, treatment, residual-risk approval, evidence tracking and management reporting so that the risk process is auditable end to end. This is the operating method sampled on the 11 September 2026 freeze during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Risk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What this procedure is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Scope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Terms used here</w:t>
            </w:r>
            <w:r>
              <w:tab/>
            </w:r>
            <w:r>
              <w:fldChar w:fldCharType="begin"/>
              <w:instrText xml:space="preserve"> PAGEREF _TocRAM003 \h </w:instrText>
              <w:fldChar w:fldCharType="separate"/>
              <w:t xml:space="preserve"> </w:t>
              <w:fldChar w:fldCharType="end"/>
            </w:r>
          </w:hyperlink>
        </w:p>
        <w:p>
          <w:pPr>
            <w:pStyle w:val="957"/>
            <w:tabs>
              <w:tab w:val="right" w:leader="dot" w:pos="10080"/>
            </w:tabs>
          </w:pPr>
          <w:hyperlink w:anchor="_TocRAM004" w:history="1">
            <w:r>
              <w:rPr>
                <w:rStyle w:val="955"/>
              </w:rPr>
              <w:t xml:space="preserve">Process overview</w:t>
            </w:r>
            <w:r>
              <w:tab/>
            </w:r>
            <w:r>
              <w:fldChar w:fldCharType="begin"/>
              <w:instrText xml:space="preserve"> PAGEREF _TocRAM004 \h </w:instrText>
              <w:fldChar w:fldCharType="separate"/>
              <w:t xml:space="preserve"> </w:t>
              <w:fldChar w:fldCharType="end"/>
            </w:r>
          </w:hyperlink>
        </w:p>
        <w:p>
          <w:pPr>
            <w:pStyle w:val="957"/>
            <w:tabs>
              <w:tab w:val="right" w:leader="dot" w:pos="10080"/>
            </w:tabs>
          </w:pPr>
          <w:hyperlink w:anchor="_TocRAM005" w:history="1">
            <w:r>
              <w:rPr>
                <w:rStyle w:val="955"/>
              </w:rPr>
              <w:t xml:space="preserve">Procedure steps</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1. Confirm scope, context, criteria and review population. (RMP-STEP-001)</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2. Identify new or changed information security risk scenarios. (RMP-STEP-002)</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3. Assess likelihood, impact and inherent risk. (RMP-STEP-003)</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4. Select treatment option and assign treatment owner. (RMP-STEP-004)</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5. Map treatments to controls and update Statement of Applicability. (RMP-STEP-005)</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6. Review and accept or reject residual risk. (RMP-STEP-006)</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7. Report high risks, overdue treatments and accepted residual risks. (RMP-STEP-007)</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Roles and responsibilities</w:t>
            </w:r>
            <w:r>
              <w:tab/>
            </w:r>
            <w:r>
              <w:fldChar w:fldCharType="begin"/>
              <w:instrText xml:space="preserve"> PAGEREF _TocRAM013 \h </w:instrText>
              <w:fldChar w:fldCharType="separate"/>
              <w:t xml:space="preserve"> </w:t>
              <w:fldChar w:fldCharType="end"/>
            </w:r>
          </w:hyperlink>
        </w:p>
        <w:p>
          <w:pPr>
            <w:pStyle w:val="957"/>
            <w:tabs>
              <w:tab w:val="right" w:leader="dot" w:pos="10080"/>
            </w:tabs>
          </w:pPr>
          <w:hyperlink w:anchor="_TocRAM014" w:history="1">
            <w:r>
              <w:rPr>
                <w:rStyle w:val="955"/>
              </w:rPr>
              <w:t xml:space="preserve">Evidence and records</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Review and decision</w:t>
            </w:r>
            <w:r>
              <w:tab/>
            </w:r>
            <w:r>
              <w:fldChar w:fldCharType="begin"/>
              <w:instrText xml:space="preserve"> PAGEREF _TocRAM015 \h </w:instrText>
              <w:fldChar w:fldCharType="separate"/>
              <w:t xml:space="preserve"> </w:t>
              <w:fldChar w:fldCharType="end"/>
            </w:r>
          </w:hyperlink>
        </w:p>
        <w:p>
          <w:pPr>
            <w:pStyle w:val="957"/>
            <w:tabs>
              <w:tab w:val="right" w:leader="dot" w:pos="10080"/>
            </w:tabs>
          </w:pPr>
          <w:hyperlink w:anchor="_TocRAM016" w:history="1">
            <w:r>
              <w:rPr>
                <w:rStyle w:val="955"/>
              </w:rPr>
              <w:t xml:space="preserve">References</w:t>
            </w:r>
            <w:r>
              <w:tab/>
            </w:r>
            <w:r>
              <w:fldChar w:fldCharType="begin"/>
              <w:instrText xml:space="preserve"> PAGEREF _TocRAM016 \h </w:instrText>
              <w:fldChar w:fldCharType="separate"/>
              <w:t xml:space="preserve"> </w:t>
              <w:fldChar w:fldCharType="end"/>
            </w:r>
          </w:hyperlink>
        </w:p>
        <w:p>
          <w:pPr>
            <w:pStyle w:val="958"/>
            <w:tabs>
              <w:tab w:val="right" w:leader="dot" w:pos="10080"/>
            </w:tabs>
          </w:pPr>
          <w:hyperlink w:anchor="_TocRAM017" w:history="1">
            <w:r>
              <w:rPr>
                <w:rStyle w:val="955"/>
              </w:rPr>
              <w:t xml:space="preserve">Linked documents</w:t>
            </w:r>
            <w:r>
              <w:tab/>
            </w:r>
            <w:r>
              <w:fldChar w:fldCharType="begin"/>
              <w:instrText xml:space="preserve"> PAGEREF _TocRAM017 \h </w:instrText>
              <w:fldChar w:fldCharType="separate"/>
              <w:t xml:space="preserve"> </w:t>
              <w:fldChar w:fldCharType="end"/>
            </w:r>
          </w:hyperlink>
        </w:p>
        <w:p>
          <w:pPr>
            <w:pStyle w:val="958"/>
            <w:tabs>
              <w:tab w:val="right" w:leader="dot" w:pos="10080"/>
            </w:tabs>
          </w:pPr>
          <w:hyperlink w:anchor="_TocRAM018" w:history="1">
            <w:r>
              <w:rPr>
                <w:rStyle w:val="955"/>
              </w:rPr>
              <w:t xml:space="preserve">External references</w:t>
            </w:r>
            <w:r>
              <w:tab/>
            </w:r>
            <w:r>
              <w:fldChar w:fldCharType="begin"/>
              <w:instrText xml:space="preserve"> PAGEREF _TocRAM018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Keep risk workflow evidence-linked: every assessed risk needs owner, treatment decision, residual risk and review evidence.</w:t>
              <w:br/>
              <w:br/>
              <w:t>Book reference: Building the ISMS, Information Security Policies &amp; Risk Management</w:t>
            </w:r>
          </w:p>
        </w:tc>
      </w:tr>
    </w:tbl>
    <w:p>
      <w:r>
        <w:br w:type="page"/>
      </w:r>
    </w:p>
    <w:p>
      <w:pPr>
        <w:pStyle w:val="973"/>
        <w:outlineLvl w:val="0"/>
      </w:pPr>
      <w:bookmarkStart w:id="6" w:name="_TocRAM001"/>
      <w:r>
        <w:t>What this procedure is</w:t>
      </w:r>
      <w:bookmarkEnd w:id="6"/>
    </w:p>
    <w:p>
      <w:r>
        <w:rPr>
          <w:b w:val="0"/>
        </w:rPr>
        <w:t>This document is Arcfield's Risk Management Plan. Define the information security risk management approach, scope, roles, methodology, risk appetite, treatment process, review cadence and reporting model. It is not the policy that sets the rule or the register that stores the live rows. This procedure applies to the Arcfield Platform (B2B SaaS (Software as a Service) for regulated fintech and health customers): production, customer data, CI/CD (Continuous Integration / Continuous Delivery), privileged access and critical suppliers. Neighbouring records (RR (Risk Register), ISO (International Organization for Standardization), ROAR) cite this Document Control version. Do not copy these paragraphs into them.</w:t>
      </w:r>
    </w:p>
    <w:p>
      <w:pPr>
        <w:pStyle w:val="974"/>
        <w:outlineLvl w:val="1"/>
      </w:pPr>
      <w:bookmarkStart w:id="7" w:name="_TocRAM002"/>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procedure</w:t>
            </w:r>
          </w:p>
        </w:tc>
        <w:tc>
          <w:tcPr>
            <w:tcW w:type="dxa" w:w="7056"/>
            <w:shd w:fill="F7F9FC"/>
          </w:tcPr>
          <w:p>
            <w:r/>
            <w:r>
              <w:rPr>
                <w:b/>
                <w:color w:val="1F6FEB"/>
                <w:sz w:val="18"/>
              </w:rPr>
              <w:t>Not in this procedure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RR, ISO, ROAR.</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8" w:name="_TocRAM003"/>
      <w:r>
        <w:t>Terms used here</w:t>
      </w:r>
      <w:bookmarkEnd w:id="8"/>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3"/>
        <w:outlineLvl w:val="0"/>
      </w:pPr>
      <w:bookmarkStart w:id="9" w:name="_TocRAM004"/>
      <w:r>
        <w:t>Process overview</w:t>
      </w:r>
      <w:bookmarkEnd w:id="9"/>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The schema should show how risks move from identification to treatment, acceptance and reporting.</w:t>
              <w:br/>
              <w:br/>
              <w:t>Book reference: Building the ISMS, Information Security Policies &amp; Risk Management</w:t>
            </w:r>
          </w:p>
        </w:tc>
      </w:tr>
    </w:tbl>
    <w:p>
      <w:pPr>
        <w:spacing w:before="160" w:after="160"/>
        <w:jc w:val="center"/>
      </w:pPr>
      <w:r>
        <w:drawing>
          <wp:inline xmlns:pic="http://schemas.openxmlformats.org/drawingml/2006/picture">
            <wp:extent cx="5577840" cy="3904488"/>
            <wp:docPr id="846484214" name="Picture 846484214"/>
            <wp:cNvGraphicFramePr>
              <a:graphicFrameLocks noChangeAspect="1"/>
            </wp:cNvGraphicFramePr>
            <a:graphic>
              <a:graphicData uri="http://schemas.openxmlformats.org/drawingml/2006/picture">
                <pic:pic>
                  <pic:nvPicPr>
                    <pic:cNvPr id="0" name="tmpihgnyalc.png"/>
                    <pic:cNvPicPr/>
                  </pic:nvPicPr>
                  <pic:blipFill>
                    <a:blip r:embed="rId16"/>
                    <a:stretch>
                      <a:fillRect/>
                    </a:stretch>
                  </pic:blipFill>
                  <pic:spPr>
                    <a:xfrm>
                      <a:off x="0" y="0"/>
                      <a:ext cx="5577840" cy="3904488"/>
                    </a:xfrm>
                    <a:prstGeom prst="rect"/>
                  </pic:spPr>
                </pic:pic>
              </a:graphicData>
            </a:graphic>
          </wp:inline>
        </w:drawing>
      </w:r>
    </w:p>
    <w:p>
      <w:pPr>
        <w:pStyle w:val="973"/>
        <w:outlineLvl w:val="0"/>
      </w:pPr>
      <w:bookmarkStart w:id="10" w:name="_TocRAM005"/>
      <w:r>
        <w:t>Procedure steps</w:t>
      </w:r>
      <w:bookmarkEnd w:id="10"/>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Each workflow step should create or update a risk record, treatment record, decision record or reporting input.</w:t>
              <w:br/>
              <w:br/>
              <w:t>Book reference: Building the ISMS, Information Security Policies &amp; Risk Management</w:t>
            </w:r>
          </w:p>
        </w:tc>
      </w:tr>
    </w:tbl>
    <w:p>
      <w:pPr>
        <w:pStyle w:val="974"/>
        <w:outlineLvl w:val="1"/>
      </w:pPr>
      <w:bookmarkStart w:id="11" w:name="_TocRAM006"/>
      <w:r>
        <w:t>1. Confirm scope, context, criteria and review population. (RMP-STEP-001)</w:t>
      </w:r>
      <w:bookmarkEnd w:id="11"/>
    </w:p>
    <w:p>
      <w:pPr>
        <w:spacing w:before="0" w:after="40"/>
      </w:pPr>
      <w:r>
        <w:rPr>
          <w:b/>
        </w:rPr>
        <w:t xml:space="preserve">When: </w:t>
      </w:r>
      <w:r>
        <w:rPr>
          <w:b w:val="0"/>
        </w:rPr>
        <w:t>Quarterly risk review or material change</w:t>
      </w:r>
    </w:p>
    <w:p>
      <w:pPr>
        <w:spacing w:before="0" w:after="40"/>
      </w:pPr>
      <w:r>
        <w:rPr>
          <w:b/>
        </w:rPr>
        <w:t xml:space="preserve">Who: </w:t>
      </w:r>
      <w:r>
        <w:rPr>
          <w:b w:val="0"/>
        </w:rPr>
        <w:t>Risk Manager</w:t>
      </w:r>
    </w:p>
    <w:p>
      <w:pPr>
        <w:spacing w:before="0" w:after="40"/>
      </w:pPr>
      <w:r>
        <w:rPr>
          <w:b/>
        </w:rPr>
        <w:t xml:space="preserve">Input: </w:t>
      </w:r>
      <w:r>
        <w:rPr>
          <w:b w:val="0"/>
        </w:rPr>
        <w:t>Context changes, asset updates and interested-party requirements</w:t>
      </w:r>
    </w:p>
    <w:p>
      <w:pPr>
        <w:spacing w:before="0" w:after="40"/>
      </w:pPr>
      <w:r>
        <w:rPr>
          <w:b/>
        </w:rPr>
        <w:t xml:space="preserve">Output: </w:t>
      </w:r>
      <w:r>
        <w:rPr>
          <w:b w:val="0"/>
        </w:rPr>
        <w:t>Risk review scope</w:t>
      </w:r>
    </w:p>
    <w:p>
      <w:pPr>
        <w:spacing w:before="0" w:after="40"/>
      </w:pPr>
      <w:r>
        <w:rPr>
          <w:b/>
        </w:rPr>
        <w:t xml:space="preserve">Evidence: </w:t>
      </w:r>
      <w:r>
        <w:rPr>
          <w:b w:val="0"/>
        </w:rPr>
        <w:t>RMP-SCOPE-2026-Q3</w:t>
      </w:r>
    </w:p>
    <w:p>
      <w:pPr>
        <w:pStyle w:val="974"/>
        <w:outlineLvl w:val="1"/>
      </w:pPr>
      <w:bookmarkStart w:id="12" w:name="_TocRAM007"/>
      <w:r>
        <w:t>2. Identify new or changed information security risk scenarios. (RMP-STEP-002)</w:t>
      </w:r>
      <w:bookmarkEnd w:id="12"/>
    </w:p>
    <w:p>
      <w:pPr>
        <w:spacing w:before="0" w:after="40"/>
      </w:pPr>
      <w:r>
        <w:rPr>
          <w:b/>
        </w:rPr>
        <w:t xml:space="preserve">When: </w:t>
      </w:r>
      <w:r>
        <w:rPr>
          <w:b w:val="0"/>
        </w:rPr>
        <w:t>Review scope confirmed</w:t>
      </w:r>
    </w:p>
    <w:p>
      <w:pPr>
        <w:spacing w:before="0" w:after="40"/>
      </w:pPr>
      <w:r>
        <w:rPr>
          <w:b/>
        </w:rPr>
        <w:t xml:space="preserve">Who: </w:t>
      </w:r>
      <w:r>
        <w:rPr>
          <w:b w:val="0"/>
        </w:rPr>
        <w:t>Risk Owner</w:t>
      </w:r>
    </w:p>
    <w:p>
      <w:pPr>
        <w:spacing w:before="0" w:after="40"/>
      </w:pPr>
      <w:r>
        <w:rPr>
          <w:b/>
        </w:rPr>
        <w:t xml:space="preserve">Input: </w:t>
      </w:r>
      <w:r>
        <w:rPr>
          <w:b w:val="0"/>
        </w:rPr>
        <w:t>Asset inventory, incidents, supplier changes and vulnerability results</w:t>
      </w:r>
    </w:p>
    <w:p>
      <w:pPr>
        <w:spacing w:before="0" w:after="40"/>
      </w:pPr>
      <w:r>
        <w:rPr>
          <w:b/>
        </w:rPr>
        <w:t xml:space="preserve">Output: </w:t>
      </w:r>
      <w:r>
        <w:rPr>
          <w:b w:val="0"/>
        </w:rPr>
        <w:t>Updated risk scenarios</w:t>
      </w:r>
    </w:p>
    <w:p>
      <w:pPr>
        <w:spacing w:before="0" w:after="40"/>
      </w:pPr>
      <w:r>
        <w:rPr>
          <w:b/>
        </w:rPr>
        <w:t xml:space="preserve">Evidence: </w:t>
      </w:r>
      <w:r>
        <w:rPr>
          <w:b w:val="0"/>
        </w:rPr>
        <w:t>RR-2026-Q3</w:t>
      </w:r>
    </w:p>
    <w:p>
      <w:pPr>
        <w:pStyle w:val="974"/>
        <w:outlineLvl w:val="1"/>
      </w:pPr>
      <w:bookmarkStart w:id="13" w:name="_TocRAM008"/>
      <w:r>
        <w:t>3. Assess likelihood, impact and inherent risk. (RMP-STEP-003)</w:t>
      </w:r>
      <w:bookmarkEnd w:id="13"/>
    </w:p>
    <w:p>
      <w:pPr>
        <w:spacing w:before="0" w:after="40"/>
      </w:pPr>
      <w:r>
        <w:rPr>
          <w:b/>
        </w:rPr>
        <w:t xml:space="preserve">When: </w:t>
      </w:r>
      <w:r>
        <w:rPr>
          <w:b w:val="0"/>
        </w:rPr>
        <w:t>Risk scenarios updated</w:t>
      </w:r>
    </w:p>
    <w:p>
      <w:pPr>
        <w:spacing w:before="0" w:after="40"/>
      </w:pPr>
      <w:r>
        <w:rPr>
          <w:b/>
        </w:rPr>
        <w:t xml:space="preserve">Who: </w:t>
      </w:r>
      <w:r>
        <w:rPr>
          <w:b w:val="0"/>
        </w:rPr>
        <w:t>Risk Manager</w:t>
      </w:r>
    </w:p>
    <w:p>
      <w:pPr>
        <w:spacing w:before="0" w:after="40"/>
      </w:pPr>
      <w:r>
        <w:rPr>
          <w:b/>
        </w:rPr>
        <w:t xml:space="preserve">Input: </w:t>
      </w:r>
      <w:r>
        <w:rPr>
          <w:b w:val="0"/>
        </w:rPr>
        <w:t>Risk methodology and risk scenario details</w:t>
      </w:r>
    </w:p>
    <w:p>
      <w:pPr>
        <w:spacing w:before="0" w:after="40"/>
      </w:pPr>
      <w:r>
        <w:rPr>
          <w:b/>
        </w:rPr>
        <w:t xml:space="preserve">Output: </w:t>
      </w:r>
      <w:r>
        <w:rPr>
          <w:b w:val="0"/>
        </w:rPr>
        <w:t>Assessed risk register</w:t>
      </w:r>
    </w:p>
    <w:p>
      <w:pPr>
        <w:spacing w:before="0" w:after="40"/>
      </w:pPr>
      <w:r>
        <w:rPr>
          <w:b/>
        </w:rPr>
        <w:t xml:space="preserve">Evidence: </w:t>
      </w:r>
      <w:r>
        <w:rPr>
          <w:b w:val="0"/>
        </w:rPr>
        <w:t>RR-2026-Q3</w:t>
      </w:r>
    </w:p>
    <w:p>
      <w:pPr>
        <w:pStyle w:val="974"/>
        <w:outlineLvl w:val="1"/>
      </w:pPr>
      <w:bookmarkStart w:id="14" w:name="_TocRAM009"/>
      <w:r>
        <w:t>4. Select treatment option and assign treatment owner. (RMP-STEP-004)</w:t>
      </w:r>
      <w:bookmarkEnd w:id="14"/>
    </w:p>
    <w:p>
      <w:pPr>
        <w:spacing w:before="0" w:after="40"/>
      </w:pPr>
      <w:r>
        <w:rPr>
          <w:b/>
        </w:rPr>
        <w:t xml:space="preserve">When: </w:t>
      </w:r>
      <w:r>
        <w:rPr>
          <w:b w:val="0"/>
        </w:rPr>
        <w:t>Risk assessment complete</w:t>
      </w:r>
    </w:p>
    <w:p>
      <w:pPr>
        <w:spacing w:before="0" w:after="40"/>
      </w:pPr>
      <w:r>
        <w:rPr>
          <w:b/>
        </w:rPr>
        <w:t xml:space="preserve">Who: </w:t>
      </w:r>
      <w:r>
        <w:rPr>
          <w:b w:val="0"/>
        </w:rPr>
        <w:t>Risk Owner</w:t>
      </w:r>
    </w:p>
    <w:p>
      <w:pPr>
        <w:spacing w:before="0" w:after="40"/>
      </w:pPr>
      <w:r>
        <w:rPr>
          <w:b/>
        </w:rPr>
        <w:t xml:space="preserve">Input: </w:t>
      </w:r>
      <w:r>
        <w:rPr>
          <w:b w:val="0"/>
        </w:rPr>
        <w:t>Assessed risk and acceptance criteria</w:t>
      </w:r>
    </w:p>
    <w:p>
      <w:pPr>
        <w:spacing w:before="0" w:after="40"/>
      </w:pPr>
      <w:r>
        <w:rPr>
          <w:b/>
        </w:rPr>
        <w:t xml:space="preserve">Output: </w:t>
      </w:r>
      <w:r>
        <w:rPr>
          <w:b w:val="0"/>
        </w:rPr>
        <w:t>Risk treatment plan update</w:t>
      </w:r>
    </w:p>
    <w:p>
      <w:pPr>
        <w:spacing w:before="0" w:after="40"/>
      </w:pPr>
      <w:r>
        <w:rPr>
          <w:b/>
        </w:rPr>
        <w:t xml:space="preserve">Evidence: </w:t>
      </w:r>
      <w:r>
        <w:rPr>
          <w:b w:val="0"/>
        </w:rPr>
        <w:t>RTP (Risk Treatment Plan)-REVIEW-2026-Q3</w:t>
      </w:r>
    </w:p>
    <w:p>
      <w:pPr>
        <w:pStyle w:val="974"/>
        <w:outlineLvl w:val="1"/>
      </w:pPr>
      <w:bookmarkStart w:id="15" w:name="_TocRAM010"/>
      <w:r>
        <w:t>5. Map treatments to controls and update Statement of Applicability. (RMP-STEP-005)</w:t>
      </w:r>
      <w:bookmarkEnd w:id="15"/>
    </w:p>
    <w:p>
      <w:pPr>
        <w:spacing w:before="0" w:after="40"/>
      </w:pPr>
      <w:r>
        <w:rPr>
          <w:b/>
        </w:rPr>
        <w:t xml:space="preserve">When: </w:t>
      </w:r>
      <w:r>
        <w:rPr>
          <w:b w:val="0"/>
        </w:rPr>
        <w:t>Treatment plan updated</w:t>
      </w:r>
    </w:p>
    <w:p>
      <w:pPr>
        <w:spacing w:before="0" w:after="40"/>
      </w:pPr>
      <w:r>
        <w:rPr>
          <w:b/>
        </w:rPr>
        <w:t xml:space="preserve">Who: </w:t>
      </w:r>
      <w:r>
        <w:rPr>
          <w:b w:val="0"/>
        </w:rPr>
        <w:t>ISMS Manager</w:t>
      </w:r>
    </w:p>
    <w:p>
      <w:pPr>
        <w:spacing w:before="0" w:after="40"/>
      </w:pPr>
      <w:r>
        <w:rPr>
          <w:b/>
        </w:rPr>
        <w:t xml:space="preserve">Input: </w:t>
      </w:r>
      <w:r>
        <w:rPr>
          <w:b w:val="0"/>
        </w:rPr>
        <w:t>Treatment plan and control selection rationale</w:t>
      </w:r>
    </w:p>
    <w:p>
      <w:pPr>
        <w:spacing w:before="0" w:after="40"/>
      </w:pPr>
      <w:r>
        <w:rPr>
          <w:b/>
        </w:rPr>
        <w:t xml:space="preserve">Output: </w:t>
      </w:r>
      <w:r>
        <w:rPr>
          <w:b w:val="0"/>
        </w:rPr>
        <w:t>Updated SoA (Statement of Applicability) coverage</w:t>
      </w:r>
    </w:p>
    <w:p>
      <w:pPr>
        <w:spacing w:before="0" w:after="40"/>
      </w:pPr>
      <w:r>
        <w:rPr>
          <w:b/>
        </w:rPr>
        <w:t xml:space="preserve">Evidence: </w:t>
      </w:r>
      <w:r>
        <w:rPr>
          <w:b w:val="0"/>
        </w:rPr>
        <w:t>SOA-FULL-93-2026</w:t>
      </w:r>
    </w:p>
    <w:p>
      <w:pPr>
        <w:pStyle w:val="974"/>
        <w:outlineLvl w:val="1"/>
      </w:pPr>
      <w:bookmarkStart w:id="16" w:name="_TocRAM011"/>
      <w:r>
        <w:t>6. Review and accept or reject residual risk. (RMP-STEP-006)</w:t>
      </w:r>
      <w:bookmarkEnd w:id="16"/>
    </w:p>
    <w:p>
      <w:pPr>
        <w:spacing w:before="0" w:after="40"/>
      </w:pPr>
      <w:r>
        <w:rPr>
          <w:b/>
        </w:rPr>
        <w:t xml:space="preserve">When: </w:t>
      </w:r>
      <w:r>
        <w:rPr>
          <w:b w:val="0"/>
        </w:rPr>
        <w:t>Residual risks require decision</w:t>
      </w:r>
    </w:p>
    <w:p>
      <w:pPr>
        <w:spacing w:before="0" w:after="40"/>
      </w:pPr>
      <w:r>
        <w:rPr>
          <w:b/>
        </w:rPr>
        <w:t xml:space="preserve">Who: </w:t>
      </w:r>
      <w:r>
        <w:rPr>
          <w:b w:val="0"/>
        </w:rPr>
        <w:t>Top Management</w:t>
      </w:r>
    </w:p>
    <w:p>
      <w:pPr>
        <w:spacing w:before="0" w:after="40"/>
      </w:pPr>
      <w:r>
        <w:rPr>
          <w:b/>
        </w:rPr>
        <w:t xml:space="preserve">Input: </w:t>
      </w:r>
      <w:r>
        <w:rPr>
          <w:b w:val="0"/>
        </w:rPr>
        <w:t>Residual risk summary and treatment evidence</w:t>
      </w:r>
    </w:p>
    <w:p>
      <w:pPr>
        <w:spacing w:before="0" w:after="40"/>
      </w:pPr>
      <w:r>
        <w:rPr>
          <w:b/>
        </w:rPr>
        <w:t xml:space="preserve">Output: </w:t>
      </w:r>
      <w:r>
        <w:rPr>
          <w:b w:val="0"/>
        </w:rPr>
        <w:t>Residual risk decision</w:t>
      </w:r>
    </w:p>
    <w:p>
      <w:pPr>
        <w:spacing w:before="0" w:after="40"/>
      </w:pPr>
      <w:r>
        <w:rPr>
          <w:b/>
        </w:rPr>
        <w:t xml:space="preserve">Evidence: </w:t>
      </w:r>
      <w:r>
        <w:rPr>
          <w:b w:val="0"/>
        </w:rPr>
        <w:t>ROAR-REVIEW-2026-Q3</w:t>
      </w:r>
    </w:p>
    <w:p>
      <w:pPr>
        <w:pStyle w:val="974"/>
        <w:outlineLvl w:val="1"/>
      </w:pPr>
      <w:bookmarkStart w:id="17" w:name="_TocRAM012"/>
      <w:r>
        <w:t>7. Report high risks, overdue treatments and accepted residual risks. (RMP-STEP-007)</w:t>
      </w:r>
      <w:bookmarkEnd w:id="17"/>
    </w:p>
    <w:p>
      <w:pPr>
        <w:spacing w:before="0" w:after="40"/>
      </w:pPr>
      <w:r>
        <w:rPr>
          <w:b/>
        </w:rPr>
        <w:t xml:space="preserve">When: </w:t>
      </w:r>
      <w:r>
        <w:rPr>
          <w:b w:val="0"/>
        </w:rPr>
        <w:t>Quarterly reporting cycle</w:t>
      </w:r>
    </w:p>
    <w:p>
      <w:pPr>
        <w:spacing w:before="0" w:after="40"/>
      </w:pPr>
      <w:r>
        <w:rPr>
          <w:b/>
        </w:rPr>
        <w:t xml:space="preserve">Who: </w:t>
      </w:r>
      <w:r>
        <w:rPr>
          <w:b w:val="0"/>
        </w:rPr>
        <w:t>Risk Manager</w:t>
      </w:r>
    </w:p>
    <w:p>
      <w:pPr>
        <w:spacing w:before="0" w:after="40"/>
      </w:pPr>
      <w:r>
        <w:rPr>
          <w:b/>
        </w:rPr>
        <w:t xml:space="preserve">Input: </w:t>
      </w:r>
      <w:r>
        <w:rPr>
          <w:b w:val="0"/>
        </w:rPr>
        <w:t>Risk register, treatment plan and KRI (Key Risk Indicator) results</w:t>
      </w:r>
    </w:p>
    <w:p>
      <w:pPr>
        <w:spacing w:before="0" w:after="40"/>
      </w:pPr>
      <w:r>
        <w:rPr>
          <w:b/>
        </w:rPr>
        <w:t xml:space="preserve">Output: </w:t>
      </w:r>
      <w:r>
        <w:rPr>
          <w:b w:val="0"/>
        </w:rPr>
        <w:t>Management review risk input</w:t>
      </w:r>
    </w:p>
    <w:p>
      <w:pPr>
        <w:spacing w:before="0" w:after="40"/>
      </w:pPr>
      <w:r>
        <w:rPr>
          <w:b/>
        </w:rPr>
        <w:t xml:space="preserve">Evidence: </w:t>
      </w:r>
      <w:r>
        <w:rPr>
          <w:b w:val="0"/>
        </w:rPr>
        <w:t>MME-REVIEW-2026-08</w:t>
      </w:r>
    </w:p>
    <w:p>
      <w:pPr>
        <w:pStyle w:val="973"/>
        <w:outlineLvl w:val="0"/>
      </w:pPr>
      <w:bookmarkStart w:id="18" w:name="_TocRAM013"/>
      <w:bookmarkStart w:id="2" w:name="ref_roles_and_responsibilities"/>
      <w:r>
        <w:t>Roles and responsibilities</w:t>
      </w:r>
      <w:bookmarkEnd w:id="2"/>
      <w:bookmarkEnd w:id="18"/>
    </w:p>
    <w:tbl>
      <w:tblPr>
        <w:tblStyle w:val="1033"/>
        <w:tblW w:type="dxa" w:w="10080"/>
        <w:jc w:val="left"/>
        <w:tblLayout w:type="fixed"/>
        <w:tblLook w:firstColumn="1" w:firstRow="1" w:lastColumn="0" w:lastRow="0" w:noHBand="0" w:noVBand="1" w:val="04A0"/>
      </w:tblPr>
      <w:tblGrid>
        <w:gridCol w:w="1720"/>
        <w:gridCol w:w="8360"/>
      </w:tblGrid>
      <w:tr>
        <w:trPr>
          <w:tblHeader/>
          <w:cantSplit/>
        </w:trPr>
        <w:tc>
          <w:tcPr>
            <w:tcW w:type="dxa" w:w="1720"/>
            <w:shd w:fill="F7F9FC"/>
          </w:tcPr>
          <w:p>
            <w:r/>
            <w:r>
              <w:rPr>
                <w:b/>
                <w:color w:val="1F6FEB"/>
                <w:sz w:val="18"/>
              </w:rPr>
              <w:t>Role</w:t>
            </w:r>
          </w:p>
        </w:tc>
        <w:tc>
          <w:tcPr>
            <w:tcW w:type="dxa" w:w="8360"/>
            <w:shd w:fill="F7F9FC"/>
          </w:tcPr>
          <w:p>
            <w:r/>
            <w:r>
              <w:rPr>
                <w:b/>
                <w:color w:val="1F6FEB"/>
                <w:sz w:val="18"/>
              </w:rPr>
              <w:t>Responsibility</w:t>
            </w:r>
          </w:p>
        </w:tc>
      </w:tr>
      <w:tr>
        <w:trPr>
          <w:cantSplit/>
        </w:trPr>
        <w:tc>
          <w:tcPr>
            <w:tcW w:type="dxa" w:w="1720"/>
          </w:tcPr>
          <w:p>
            <w:r/>
            <w:r>
              <w:rPr>
                <w:b w:val="0"/>
                <w:color w:val="1F2328"/>
                <w:sz w:val="18"/>
              </w:rPr>
              <w:t>Top Management</w:t>
            </w:r>
          </w:p>
        </w:tc>
        <w:tc>
          <w:tcPr>
            <w:tcW w:type="dxa" w:w="8360"/>
          </w:tcPr>
          <w:p>
            <w:r/>
            <w:r>
              <w:rPr>
                <w:b w:val="0"/>
                <w:color w:val="1F2328"/>
                <w:sz w:val="18"/>
              </w:rPr>
              <w:t>Approves risk criteria and accepts significant residual risks.</w:t>
            </w:r>
          </w:p>
        </w:tc>
      </w:tr>
      <w:tr>
        <w:trPr>
          <w:cantSplit/>
        </w:trPr>
        <w:tc>
          <w:tcPr>
            <w:tcW w:type="dxa" w:w="1720"/>
          </w:tcPr>
          <w:p>
            <w:r/>
            <w:r>
              <w:rPr>
                <w:b w:val="0"/>
                <w:color w:val="1F2328"/>
                <w:sz w:val="18"/>
              </w:rPr>
              <w:t>Risk Manager</w:t>
            </w:r>
          </w:p>
        </w:tc>
        <w:tc>
          <w:tcPr>
            <w:tcW w:type="dxa" w:w="8360"/>
          </w:tcPr>
          <w:p>
            <w:r/>
            <w:r>
              <w:rPr>
                <w:b w:val="0"/>
                <w:color w:val="1F2328"/>
                <w:sz w:val="18"/>
              </w:rPr>
              <w:t>Operates the risk workflow and maintains methodology, reporting and review cadence.</w:t>
            </w:r>
          </w:p>
        </w:tc>
      </w:tr>
      <w:tr>
        <w:trPr>
          <w:cantSplit/>
        </w:trPr>
        <w:tc>
          <w:tcPr>
            <w:tcW w:type="dxa" w:w="1720"/>
          </w:tcPr>
          <w:p>
            <w:r/>
            <w:r>
              <w:rPr>
                <w:b w:val="0"/>
                <w:color w:val="1F2328"/>
                <w:sz w:val="18"/>
              </w:rPr>
              <w:t>Risk Owner</w:t>
            </w:r>
          </w:p>
        </w:tc>
        <w:tc>
          <w:tcPr>
            <w:tcW w:type="dxa" w:w="8360"/>
          </w:tcPr>
          <w:p>
            <w:r/>
            <w:r>
              <w:rPr>
                <w:b w:val="0"/>
                <w:color w:val="1F2328"/>
                <w:sz w:val="18"/>
              </w:rPr>
              <w:t>Owns risk assessment input, treatment decision and residual-risk acceptance proposal.</w:t>
            </w:r>
          </w:p>
        </w:tc>
      </w:tr>
      <w:tr>
        <w:trPr>
          <w:cantSplit/>
        </w:trPr>
        <w:tc>
          <w:tcPr>
            <w:tcW w:type="dxa" w:w="1720"/>
          </w:tcPr>
          <w:p>
            <w:r/>
            <w:r>
              <w:rPr>
                <w:b w:val="0"/>
                <w:color w:val="1F2328"/>
                <w:sz w:val="18"/>
              </w:rPr>
              <w:t>Control Owner</w:t>
            </w:r>
          </w:p>
        </w:tc>
        <w:tc>
          <w:tcPr>
            <w:tcW w:type="dxa" w:w="8360"/>
          </w:tcPr>
          <w:p>
            <w:r/>
            <w:r>
              <w:rPr>
                <w:b w:val="0"/>
                <w:color w:val="1F2328"/>
                <w:sz w:val="18"/>
              </w:rPr>
              <w:t>Implements assigned controls and provides treatment evidence.</w:t>
            </w:r>
          </w:p>
        </w:tc>
      </w:tr>
      <w:tr>
        <w:trPr>
          <w:cantSplit/>
        </w:trPr>
        <w:tc>
          <w:tcPr>
            <w:tcW w:type="dxa" w:w="1720"/>
          </w:tcPr>
          <w:p>
            <w:r/>
            <w:r>
              <w:rPr>
                <w:b w:val="0"/>
                <w:color w:val="1F2328"/>
                <w:sz w:val="18"/>
              </w:rPr>
              <w:t>ISMS Manager</w:t>
            </w:r>
          </w:p>
        </w:tc>
        <w:tc>
          <w:tcPr>
            <w:tcW w:type="dxa" w:w="8360"/>
          </w:tcPr>
          <w:p>
            <w:r/>
            <w:r>
              <w:rPr>
                <w:b w:val="0"/>
                <w:color w:val="1F2328"/>
                <w:sz w:val="18"/>
              </w:rPr>
              <w:t>Ensures risk treatment and SoA alignment.</w:t>
            </w:r>
          </w:p>
        </w:tc>
      </w:tr>
    </w:tbl>
    <w:p>
      <w:pPr>
        <w:spacing w:before="0" w:after="120"/>
      </w:pPr>
    </w:p>
    <w:p>
      <w:pPr>
        <w:pStyle w:val="973"/>
        <w:outlineLvl w:val="0"/>
      </w:pPr>
      <w:bookmarkStart w:id="19" w:name="_TocRAM014"/>
      <w:bookmarkStart w:id="3" w:name="ref_evidence_and_records"/>
      <w:r>
        <w:t>Evidence and records</w:t>
      </w:r>
      <w:bookmarkEnd w:id="3"/>
      <w:bookmarkEnd w:id="19"/>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1"/>
        </w:numPr>
      </w:pPr>
      <w:hyperlink r:id="rId17"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1"/>
        </w:numPr>
      </w:pPr>
      <w:hyperlink r:id="rId18"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1"/>
        </w:numPr>
      </w:pPr>
      <w:hyperlink r:id="rId19"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20" w:name="_TocRAM015"/>
      <w:bookmarkStart w:id="4" w:name="ref_review_and_decision"/>
      <w:r>
        <w:t>Review and decision</w:t>
      </w:r>
      <w:bookmarkEnd w:id="4"/>
      <w:bookmarkEnd w:id="20"/>
    </w:p>
    <w:tbl>
      <w:tblPr>
        <w:tblStyle w:val="1033"/>
        <w:tblW w:type="dxa" w:w="10080"/>
        <w:jc w:val="left"/>
        <w:tblLayout w:type="fixed"/>
        <w:tblLook w:firstColumn="1" w:firstRow="1" w:lastColumn="0" w:lastRow="0" w:noHBand="0" w:noVBand="1" w:val="04A0"/>
      </w:tblPr>
      <w:tblGrid>
        <w:gridCol w:w="2790"/>
        <w:gridCol w:w="7290"/>
      </w:tblGrid>
      <w:tr>
        <w:trPr>
          <w:tblHeader/>
          <w:cantSplit/>
        </w:trPr>
        <w:tc>
          <w:tcPr>
            <w:tcW w:type="dxa" w:w="2790"/>
            <w:shd w:fill="F7F9FC"/>
          </w:tcPr>
          <w:p>
            <w:r/>
            <w:r>
              <w:rPr>
                <w:b/>
                <w:color w:val="1F6FEB"/>
                <w:sz w:val="18"/>
              </w:rPr>
              <w:t>Field</w:t>
            </w:r>
          </w:p>
        </w:tc>
        <w:tc>
          <w:tcPr>
            <w:tcW w:type="dxa" w:w="7290"/>
            <w:shd w:fill="F7F9FC"/>
          </w:tcPr>
          <w:p>
            <w:r/>
            <w:r>
              <w:rPr>
                <w:b/>
                <w:color w:val="1F6FEB"/>
                <w:sz w:val="18"/>
              </w:rPr>
              <w:t>Value</w:t>
            </w:r>
          </w:p>
        </w:tc>
      </w:tr>
      <w:tr>
        <w:trPr>
          <w:cantSplit/>
        </w:trPr>
        <w:tc>
          <w:tcPr>
            <w:tcW w:type="dxa" w:w="2790"/>
          </w:tcPr>
          <w:p>
            <w:r/>
            <w:r>
              <w:rPr>
                <w:b w:val="0"/>
                <w:color w:val="1F2328"/>
                <w:sz w:val="18"/>
              </w:rPr>
              <w:t>Decision</w:t>
            </w:r>
          </w:p>
        </w:tc>
        <w:tc>
          <w:tcPr>
            <w:tcW w:type="dxa" w:w="7290"/>
          </w:tcPr>
          <w:p>
            <w:r/>
            <w:r>
              <w:rPr>
                <w:b w:val="0"/>
                <w:color w:val="1F2328"/>
                <w:sz w:val="18"/>
              </w:rPr>
              <w:t>Risk workflow approved for Q3 operation with management follow-up on residual supplier and access risks.</w:t>
            </w:r>
          </w:p>
        </w:tc>
      </w:tr>
      <w:tr>
        <w:trPr>
          <w:cantSplit/>
        </w:trPr>
        <w:tc>
          <w:tcPr>
            <w:tcW w:type="dxa" w:w="2790"/>
          </w:tcPr>
          <w:p>
            <w:r/>
            <w:r>
              <w:rPr>
                <w:b w:val="0"/>
                <w:color w:val="1F2328"/>
                <w:sz w:val="18"/>
              </w:rPr>
              <w:t>Risks reviewed</w:t>
            </w:r>
          </w:p>
        </w:tc>
        <w:tc>
          <w:tcPr>
            <w:tcW w:type="dxa" w:w="7290"/>
          </w:tcPr>
          <w:p>
            <w:r/>
            <w:r>
              <w:rPr>
                <w:b w:val="0"/>
                <w:color w:val="1F2328"/>
                <w:sz w:val="18"/>
              </w:rPr>
              <w:t>18</w:t>
            </w:r>
          </w:p>
        </w:tc>
      </w:tr>
      <w:tr>
        <w:trPr>
          <w:cantSplit/>
        </w:trPr>
        <w:tc>
          <w:tcPr>
            <w:tcW w:type="dxa" w:w="2790"/>
          </w:tcPr>
          <w:p>
            <w:r/>
            <w:r>
              <w:rPr>
                <w:b w:val="0"/>
                <w:color w:val="1F2328"/>
                <w:sz w:val="18"/>
              </w:rPr>
              <w:t>High risks</w:t>
            </w:r>
          </w:p>
        </w:tc>
        <w:tc>
          <w:tcPr>
            <w:tcW w:type="dxa" w:w="7290"/>
          </w:tcPr>
          <w:p>
            <w:r/>
            <w:r>
              <w:rPr>
                <w:b w:val="0"/>
                <w:color w:val="1F2328"/>
                <w:sz w:val="18"/>
              </w:rPr>
              <w:t>3</w:t>
            </w:r>
          </w:p>
        </w:tc>
      </w:tr>
      <w:tr>
        <w:trPr>
          <w:cantSplit/>
        </w:trPr>
        <w:tc>
          <w:tcPr>
            <w:tcW w:type="dxa" w:w="2790"/>
          </w:tcPr>
          <w:p>
            <w:r/>
            <w:r>
              <w:rPr>
                <w:b w:val="0"/>
                <w:color w:val="1F2328"/>
                <w:sz w:val="18"/>
              </w:rPr>
              <w:t>Treatments overdue</w:t>
            </w:r>
          </w:p>
        </w:tc>
        <w:tc>
          <w:tcPr>
            <w:tcW w:type="dxa" w:w="7290"/>
          </w:tcPr>
          <w:p>
            <w:r/>
            <w:r>
              <w:rPr>
                <w:b w:val="0"/>
                <w:color w:val="1F2328"/>
                <w:sz w:val="18"/>
              </w:rPr>
              <w:t>1</w:t>
            </w:r>
          </w:p>
        </w:tc>
      </w:tr>
      <w:tr>
        <w:trPr>
          <w:cantSplit/>
        </w:trPr>
        <w:tc>
          <w:tcPr>
            <w:tcW w:type="dxa" w:w="2790"/>
          </w:tcPr>
          <w:p>
            <w:r/>
            <w:r>
              <w:rPr>
                <w:b w:val="0"/>
                <w:color w:val="1F2328"/>
                <w:sz w:val="18"/>
              </w:rPr>
              <w:t>Residual risks accepted</w:t>
            </w:r>
          </w:p>
        </w:tc>
        <w:tc>
          <w:tcPr>
            <w:tcW w:type="dxa" w:w="7290"/>
          </w:tcPr>
          <w:p>
            <w:r/>
            <w:r>
              <w:rPr>
                <w:b w:val="0"/>
                <w:color w:val="1F2328"/>
                <w:sz w:val="18"/>
              </w:rPr>
              <w:t>2</w:t>
            </w:r>
          </w:p>
        </w:tc>
      </w:tr>
      <w:tr>
        <w:trPr>
          <w:cantSplit/>
        </w:trPr>
        <w:tc>
          <w:tcPr>
            <w:tcW w:type="dxa" w:w="2790"/>
          </w:tcPr>
          <w:p>
            <w:r/>
            <w:r>
              <w:rPr>
                <w:b w:val="0"/>
                <w:color w:val="1F2328"/>
                <w:sz w:val="18"/>
              </w:rPr>
              <w:t>Open actions</w:t>
            </w:r>
          </w:p>
        </w:tc>
        <w:tc>
          <w:tcPr>
            <w:tcW w:type="dxa" w:w="7290"/>
          </w:tcPr>
          <w:p>
            <w:r/>
            <w:r>
              <w:rPr>
                <w:b w:val="0"/>
                <w:color w:val="1F2328"/>
                <w:sz w:val="18"/>
              </w:rPr>
              <w:t>3</w:t>
            </w:r>
          </w:p>
        </w:tc>
      </w:tr>
      <w:tr>
        <w:trPr>
          <w:cantSplit/>
        </w:trPr>
        <w:tc>
          <w:tcPr>
            <w:tcW w:type="dxa" w:w="2790"/>
          </w:tcPr>
          <w:p>
            <w:r/>
            <w:r>
              <w:rPr>
                <w:b w:val="0"/>
                <w:color w:val="1F2328"/>
                <w:sz w:val="18"/>
              </w:rPr>
              <w:t>Reviewed by</w:t>
            </w:r>
          </w:p>
        </w:tc>
        <w:tc>
          <w:tcPr>
            <w:tcW w:type="dxa" w:w="7290"/>
          </w:tcPr>
          <w:p>
            <w:r/>
            <w:r>
              <w:rPr>
                <w:b w:val="0"/>
                <w:color w:val="1F2328"/>
                <w:sz w:val="18"/>
              </w:rPr>
              <w:t>Risk Manager</w:t>
            </w:r>
          </w:p>
        </w:tc>
      </w:tr>
      <w:tr>
        <w:trPr>
          <w:cantSplit/>
        </w:trPr>
        <w:tc>
          <w:tcPr>
            <w:tcW w:type="dxa" w:w="2790"/>
          </w:tcPr>
          <w:p>
            <w:r/>
            <w:r>
              <w:rPr>
                <w:b w:val="0"/>
                <w:color w:val="1F2328"/>
                <w:sz w:val="18"/>
              </w:rPr>
              <w:t>Decision date</w:t>
            </w:r>
          </w:p>
        </w:tc>
        <w:tc>
          <w:tcPr>
            <w:tcW w:type="dxa" w:w="7290"/>
          </w:tcPr>
          <w:p>
            <w:r/>
            <w:r>
              <w:rPr>
                <w:b w:val="0"/>
                <w:color w:val="1F2328"/>
                <w:sz w:val="18"/>
              </w:rPr>
              <w:t>2026-08-29</w:t>
            </w:r>
          </w:p>
        </w:tc>
      </w:tr>
      <w:tr>
        <w:trPr>
          <w:cantSplit/>
        </w:trPr>
        <w:tc>
          <w:tcPr>
            <w:tcW w:type="dxa" w:w="2790"/>
          </w:tcPr>
          <w:p>
            <w:r/>
            <w:r>
              <w:rPr>
                <w:b w:val="0"/>
                <w:color w:val="1F2328"/>
                <w:sz w:val="18"/>
              </w:rPr>
              <w:t>Evidence reference</w:t>
            </w:r>
          </w:p>
        </w:tc>
        <w:tc>
          <w:tcPr>
            <w:tcW w:type="dxa" w:w="7290"/>
          </w:tcPr>
          <w:p>
            <w:r/>
            <w:r>
              <w:rPr>
                <w:b w:val="0"/>
                <w:color w:val="1F2328"/>
                <w:sz w:val="18"/>
              </w:rPr>
              <w:t>RMP-REVIEW-2026-Q3</w:t>
            </w:r>
          </w:p>
        </w:tc>
      </w:tr>
    </w:tbl>
    <w:p>
      <w:pPr>
        <w:spacing w:before="0" w:after="120"/>
      </w:pPr>
    </w:p>
    <w:p>
      <w:pPr>
        <w:pStyle w:val="973"/>
        <w:outlineLvl w:val="0"/>
      </w:pPr>
      <w:bookmarkStart w:id="21" w:name="_TocRAM016"/>
      <w:bookmarkStart w:id="5" w:name="ref_external_references"/>
      <w:r>
        <w:t>References</w:t>
      </w:r>
      <w:bookmarkEnd w:id="5"/>
      <w:bookmarkEnd w:id="21"/>
    </w:p>
    <w:p>
      <w:pPr>
        <w:pStyle w:val="974"/>
        <w:outlineLvl w:val="1"/>
      </w:pPr>
      <w:bookmarkStart w:id="22" w:name="_TocRAM017"/>
      <w:r>
        <w:t>Linked documents</w:t>
      </w:r>
      <w:bookmarkEnd w:id="22"/>
    </w:p>
    <w:p>
      <w:r>
        <w:rPr>
          <w:b w:val="0"/>
        </w:rPr>
        <w:t>These companion files sit next to this document in the unpacked package. This file cites them by their approved version. It does not copy their content.</w:t>
      </w:r>
    </w:p>
    <w:p>
      <w:pPr>
        <w:pStyle w:val="1006"/>
        <w:ind w:left="360" w:hanging="259"/>
        <w:numPr>
          <w:ilvl w:val="0"/>
          <w:numId w:val="12"/>
        </w:numPr>
      </w:pPr>
      <w:hyperlink r:id="rId17"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18"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19"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w:t>
      </w:r>
    </w:p>
    <w:p>
      <w:pPr>
        <w:pStyle w:val="1006"/>
        <w:ind w:left="360" w:hanging="259"/>
        <w:numPr>
          <w:ilvl w:val="0"/>
          <w:numId w:val="12"/>
        </w:numPr>
      </w:pPr>
      <w:hyperlink r:id="rId20" w:history="1">
        <w:r>
          <w:rPr>
            <w:color w:val="0563C1"/>
            <w:u w:val="single"/>
          </w:rPr>
          <w:t xml:space="preserve">RR Risk Register (Building the ISMS, Planning, Risk &amp; Objectives (Clause 6))</w:t>
        </w:r>
      </w:hyperlink>
      <w:r>
        <w:rPr>
          <w:b w:val="0"/>
        </w:rPr>
        <w:t xml:space="preserve"> — Interface record. Cite this Document Control version; do not copy this file into that record.</w:t>
      </w:r>
    </w:p>
    <w:p>
      <w:pPr>
        <w:pStyle w:val="1006"/>
        <w:ind w:left="360" w:hanging="259"/>
        <w:numPr>
          <w:ilvl w:val="0"/>
          <w:numId w:val="12"/>
        </w:numPr>
      </w:pPr>
      <w:hyperlink r:id="rId21" w:history="1">
        <w:r>
          <w:rPr>
            <w:color w:val="0563C1"/>
            <w:u w:val="single"/>
          </w:rPr>
          <w:t xml:space="preserve">ROAR ISMS Risks and Opportunities Register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2"/>
        </w:numPr>
      </w:pPr>
      <w:hyperlink r:id="rId22" w:history="1">
        <w:r>
          <w:rPr>
            <w:color w:val="0563C1"/>
            <w:u w:val="single"/>
          </w:rPr>
          <w:t xml:space="preserve">RTP Risk Treatment Plan (Implementation &amp; Certification, Risk Assessment &amp; Risk Treatment Process)</w:t>
        </w:r>
      </w:hyperlink>
      <w:r>
        <w:rPr>
          <w:b w:val="0"/>
        </w:rPr>
        <w:t xml:space="preserve"> — Interface record. Cite this Document Control version; do not copy this file into that record.</w:t>
      </w:r>
    </w:p>
    <w:p>
      <w:pPr>
        <w:pStyle w:val="1006"/>
        <w:ind w:left="360" w:hanging="259"/>
        <w:numPr>
          <w:ilvl w:val="0"/>
          <w:numId w:val="12"/>
        </w:numPr>
      </w:pPr>
      <w:hyperlink r:id="rId23" w:history="1">
        <w:r>
          <w:rPr>
            <w:color w:val="0563C1"/>
            <w:u w:val="single"/>
          </w:rPr>
          <w:t xml:space="preserve">MME Monitoring and Measurement Evidence (Implementation &amp; Certification, Monitoring, Measurement &amp; Performance Metrics)</w:t>
        </w:r>
      </w:hyperlink>
      <w:r>
        <w:rPr>
          <w:b w:val="0"/>
        </w:rPr>
        <w:t xml:space="preserve"> — Interface record. Cite this Document Control version; do not copy this file into that record.</w:t>
      </w:r>
    </w:p>
    <w:p>
      <w:pPr>
        <w:pStyle w:val="974"/>
        <w:outlineLvl w:val="1"/>
      </w:pPr>
      <w:bookmarkStart w:id="23" w:name="_TocRAM018"/>
      <w:r>
        <w:t>External references</w:t>
      </w:r>
      <w:bookmarkEnd w:id="23"/>
    </w:p>
    <w:p>
      <w:r>
        <w:rPr>
          <w:b w:val="0"/>
        </w:rPr>
        <w:t>Cite these ISO clauses and book chapters from workshops and audits.</w:t>
      </w:r>
    </w:p>
    <w:p>
      <w:pPr>
        <w:pStyle w:val="1006"/>
        <w:ind w:left="360" w:hanging="259"/>
        <w:numPr>
          <w:ilvl w:val="0"/>
          <w:numId w:val="13"/>
        </w:numPr>
      </w:pPr>
      <w:hyperlink r:id="rId24"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3"/>
        </w:numPr>
      </w:pPr>
      <w:hyperlink r:id="rId25" w:history="1">
        <w:r>
          <w:rPr>
            <w:color w:val="0563C1"/>
            <w:u w:val="single"/>
          </w:rPr>
          <w:t xml:space="preserve">Building the ISMS, Information Security Policies &amp; Risk Management</w:t>
        </w:r>
      </w:hyperlink>
      <w:r>
        <w:rPr>
          <w:b w:val="0"/>
        </w:rPr>
        <w:t xml:space="preserve"> — Primary operating chapter for this companion artifact.</w:t>
      </w:r>
    </w:p>
    <w:p>
      <w:pPr>
        <w:pStyle w:val="1006"/>
        <w:ind w:left="360" w:hanging="259"/>
        <w:numPr>
          <w:ilvl w:val="0"/>
          <w:numId w:val="13"/>
        </w:numPr>
      </w:pPr>
      <w:hyperlink r:id="rId25" w:history="1">
        <w:r>
          <w:rPr>
            <w:color w:val="0563C1"/>
            <w:u w:val="single"/>
          </w:rPr>
          <w:t xml:space="preserve">Building the ISMS, Information Security Policies &amp; Risk Management</w:t>
        </w:r>
      </w:hyperlink>
      <w:r>
        <w:rPr>
          <w:b w:val="0"/>
        </w:rPr>
        <w:t xml:space="preserve"> — Primary operating chapter for this companion artifact.</w:t>
      </w:r>
    </w:p>
    <w:p>
      <w:pPr>
        <w:pStyle w:val="1006"/>
        <w:ind w:left="360" w:hanging="259"/>
        <w:numPr>
          <w:ilvl w:val="0"/>
          <w:numId w:val="13"/>
        </w:numPr>
      </w:pPr>
      <w:hyperlink r:id="rId25"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Risk Management Plan (RMP)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image" Target="media/image2.png"/><Relationship Id="rId17" Type="http://schemas.openxmlformats.org/officeDocument/2006/relationships/hyperlink" Target="MDR_Mandatory_Documents_and_Records_Register.xlsx" TargetMode="External"/><Relationship Id="rId18" Type="http://schemas.openxmlformats.org/officeDocument/2006/relationships/hyperlink" Target="DR_Document_Register.xlsx" TargetMode="External"/><Relationship Id="rId19" Type="http://schemas.openxmlformats.org/officeDocument/2006/relationships/hyperlink" Target="RRS_Records_Retention_Schedule_Register.xlsx" TargetMode="External"/><Relationship Id="rId20" Type="http://schemas.openxmlformats.org/officeDocument/2006/relationships/hyperlink" Target="RR_Risk_Register.xlsx" TargetMode="External"/><Relationship Id="rId21" Type="http://schemas.openxmlformats.org/officeDocument/2006/relationships/hyperlink" Target="ROAR_ISMS_Risks_and_Opportunities_Register.xlsx" TargetMode="External"/><Relationship Id="rId22" Type="http://schemas.openxmlformats.org/officeDocument/2006/relationships/hyperlink" Target="RTP_Risk_Treatment_Plan_Register.xlsx" TargetMode="External"/><Relationship Id="rId23" Type="http://schemas.openxmlformats.org/officeDocument/2006/relationships/hyperlink" Target="MME_Monitoring_and_Measurement_Evidence_Register.xlsx" TargetMode="External"/><Relationship Id="rId24" Type="http://schemas.openxmlformats.org/officeDocument/2006/relationships/hyperlink" Target="https://www.iso.org/standard/82875.html" TargetMode="External"/><Relationship Id="rId25"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Plan</dc:title>
  <dc:subject>Official ExportableProof Companion Artifact RMP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Procedure</cp:category>
</cp:coreProperties>
</file>