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Risk Acceptance Minutes</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These minutes record formal decisions to accept residual information-security risk that remains after treatment, or to accept risk temporarily with conditions. They capture the risk ID, residual rating, rationale, conditions, expiry, approver authority and monitoring requirements. They are not a risk-assessment methodology. These minutes record a dated review of the certified Arcfield Platform ISMS (Information Security Management System) in the surveillance cycle after certificate ARC-ISMS-2025-001.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Confidential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Risk Owner / Top Management (as required by appetite)</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Confidential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2008"/>
        <w:gridCol w:w="5064"/>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2008"/>
            <w:shd w:fill="F7F9FC"/>
          </w:tcPr>
          <w:p>
            <w:r/>
            <w:r>
              <w:rPr>
                <w:b/>
                <w:color w:val="1F6FEB"/>
                <w:sz w:val="18"/>
              </w:rPr>
              <w:t>Change</w:t>
            </w:r>
          </w:p>
        </w:tc>
        <w:tc>
          <w:tcPr>
            <w:tcW w:type="dxa" w:w="5064"/>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2008"/>
          </w:tcPr>
          <w:p>
            <w:r/>
            <w:r>
              <w:rPr>
                <w:b w:val="0"/>
                <w:color w:val="1F2328"/>
                <w:sz w:val="18"/>
              </w:rPr>
              <w:t>Initial Arcfield Platform publication.</w:t>
            </w:r>
          </w:p>
        </w:tc>
        <w:tc>
          <w:tcPr>
            <w:tcW w:type="dxa" w:w="5064"/>
          </w:tcPr>
          <w:p>
            <w:r/>
            <w:r>
              <w:rPr>
                <w:b w:val="0"/>
                <w:color w:val="1F2328"/>
                <w:sz w:val="18"/>
              </w:rPr>
              <w:t>Risk Owner / Top Management (as required by appetite)</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2008"/>
          </w:tcPr>
          <w:p>
            <w:r/>
            <w:r>
              <w:rPr>
                <w:b w:val="0"/>
                <w:color w:val="1F2328"/>
                <w:sz w:val="18"/>
              </w:rPr>
              <w:t>Approved Arcfield worked example after the 11 September 2026 internal audit.</w:t>
            </w:r>
          </w:p>
        </w:tc>
        <w:tc>
          <w:tcPr>
            <w:tcW w:type="dxa" w:w="5064"/>
          </w:tcPr>
          <w:p>
            <w:r/>
            <w:r>
              <w:rPr>
                <w:b w:val="0"/>
                <w:color w:val="1F2328"/>
                <w:sz w:val="18"/>
              </w:rPr>
              <w:t>Risk Owner / Top Management (as required by appetite)</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Minutes</w:t>
            </w:r>
            <w:r>
              <w:tab/>
            </w:r>
            <w:r>
              <w:fldChar w:fldCharType="begin"/>
              <w:instrText xml:space="preserve"> PAGEREF _TocRAM001 \h </w:instrText>
              <w:fldChar w:fldCharType="separate"/>
              <w:t xml:space="preserve"> </w:t>
              <w:fldChar w:fldCharType="end"/>
            </w:r>
          </w:hyperlink>
        </w:p>
        <w:p>
          <w:pPr>
            <w:pStyle w:val="957"/>
            <w:tabs>
              <w:tab w:val="right" w:leader="dot" w:pos="10080"/>
            </w:tabs>
          </w:pPr>
          <w:hyperlink w:anchor="_TocRAM002" w:history="1">
            <w:r>
              <w:rPr>
                <w:rStyle w:val="955"/>
              </w:rPr>
              <w:t xml:space="preserve">What these minutes are</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Attendance and independence</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Decision record</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Conditions and expiry</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Cadence and triggers</w:t>
            </w:r>
            <w:r>
              <w:tab/>
            </w:r>
            <w:r>
              <w:fldChar w:fldCharType="begin"/>
              <w:instrText xml:space="preserve"> PAGEREF _TocRAM008 \h </w:instrText>
              <w:fldChar w:fldCharType="separate"/>
              <w:t xml:space="preserve"> </w:t>
              <w:fldChar w:fldCharType="end"/>
            </w:r>
          </w:hyperlink>
        </w:p>
        <w:p>
          <w:pPr>
            <w:pStyle w:val="957"/>
            <w:tabs>
              <w:tab w:val="right" w:leader="dot" w:pos="10080"/>
            </w:tabs>
          </w:pPr>
          <w:hyperlink w:anchor="_TocRAM009" w:history="1">
            <w:r>
              <w:rPr>
                <w:rStyle w:val="955"/>
              </w:rPr>
              <w:t xml:space="preserve">Evidence and records</w:t>
            </w:r>
            <w:r>
              <w:tab/>
            </w:r>
            <w:r>
              <w:fldChar w:fldCharType="begin"/>
              <w:instrText xml:space="preserve"> PAGEREF _TocRAM009 \h </w:instrText>
              <w:fldChar w:fldCharType="separate"/>
              <w:t xml:space="preserve"> </w:t>
              <w:fldChar w:fldCharType="end"/>
            </w:r>
          </w:hyperlink>
        </w:p>
        <w:p>
          <w:pPr>
            <w:pStyle w:val="957"/>
            <w:tabs>
              <w:tab w:val="right" w:leader="dot" w:pos="10080"/>
            </w:tabs>
          </w:pPr>
          <w:hyperlink w:anchor="_TocRAM010" w:history="1">
            <w:r>
              <w:rPr>
                <w:rStyle w:val="955"/>
              </w:rPr>
              <w:t xml:space="preserve">References</w:t>
            </w:r>
            <w:r>
              <w:tab/>
            </w:r>
            <w:r>
              <w:fldChar w:fldCharType="begin"/>
              <w:instrText xml:space="preserve"> PAGEREF _TocRAM010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Planning, Risk &amp; Objectives (Clause 6)</w:t>
            </w:r>
          </w:p>
        </w:tc>
      </w:tr>
    </w:tbl>
    <w:p>
      <w:r>
        <w:br w:type="page"/>
      </w:r>
    </w:p>
    <w:p>
      <w:pPr>
        <w:pStyle w:val="973"/>
        <w:outlineLvl w:val="0"/>
      </w:pPr>
      <w:bookmarkStart w:id="4" w:name="_TocRAM001"/>
      <w:r>
        <w:t>Minutes</w:t>
      </w:r>
      <w:bookmarkEnd w:id="4"/>
    </w:p>
    <w:p>
      <w:pPr>
        <w:pStyle w:val="973"/>
        <w:outlineLvl w:val="0"/>
      </w:pPr>
      <w:bookmarkStart w:id="5" w:name="_TocRAM002"/>
      <w:r>
        <w:t>What these minutes are</w:t>
      </w:r>
      <w:bookmarkEnd w:id="5"/>
    </w:p>
    <w:p>
      <w:r>
        <w:rPr>
          <w:b w:val="0"/>
        </w:rPr>
        <w:t>These minutes are Arcfield's Risk Acceptance Minutes (RAMT). They freeze one residual-risk acceptance against the published Risk Assessment Methodology (RAM): risk identity, inherent and residual ratings, treatment already taken, compensating controls, authority, expiry and reassess triggers. They are not RAM, not the live Risk Register (RR) row and not the Statement of Applicability (SoA). Top Management, the Risk Manager and audit use this Document Control version to show who accepted what, until when. Cite this version from RR. Do not copy the method into these minutes.</w:t>
      </w:r>
    </w:p>
    <w:p>
      <w:pPr>
        <w:pStyle w:val="974"/>
        <w:outlineLvl w:val="1"/>
      </w:pPr>
      <w:bookmarkStart w:id="6" w:name="_TocRAM003"/>
      <w:r>
        <w:t>Scope</w:t>
      </w:r>
      <w:bookmarkEnd w:id="6"/>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these minutes</w:t>
            </w:r>
          </w:p>
        </w:tc>
        <w:tc>
          <w:tcPr>
            <w:tcW w:type="dxa" w:w="7056"/>
            <w:shd w:fill="F7F9FC"/>
          </w:tcPr>
          <w:p>
            <w:r/>
            <w:r>
              <w:rPr>
                <w:b/>
                <w:color w:val="1F6FEB"/>
                <w:sz w:val="18"/>
              </w:rPr>
              <w:t>Not in these minutes</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RAM, RR, SoA.</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7" w:name="_TocRAM004"/>
      <w:r>
        <w:t>Terms used here</w:t>
      </w:r>
      <w:bookmarkEnd w:id="7"/>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394"/>
        <w:gridCol w:w="7686"/>
      </w:tblGrid>
      <w:tr>
        <w:trPr>
          <w:tblHeader/>
          <w:cantSplit/>
        </w:trPr>
        <w:tc>
          <w:tcPr>
            <w:tcW w:type="dxa" w:w="2394"/>
            <w:shd w:fill="F7F9FC"/>
          </w:tcPr>
          <w:p>
            <w:r/>
            <w:r>
              <w:rPr>
                <w:b/>
                <w:color w:val="1F6FEB"/>
                <w:sz w:val="18"/>
              </w:rPr>
              <w:t>Term</w:t>
            </w:r>
          </w:p>
        </w:tc>
        <w:tc>
          <w:tcPr>
            <w:tcW w:type="dxa" w:w="7686"/>
            <w:shd w:fill="F7F9FC"/>
          </w:tcPr>
          <w:p>
            <w:r/>
            <w:r>
              <w:rPr>
                <w:b/>
                <w:color w:val="1F6FEB"/>
                <w:sz w:val="18"/>
              </w:rPr>
              <w:t>Meaning</w:t>
            </w:r>
          </w:p>
        </w:tc>
      </w:tr>
      <w:tr>
        <w:trPr>
          <w:cantSplit/>
        </w:trPr>
        <w:tc>
          <w:tcPr>
            <w:tcW w:type="dxa" w:w="2394"/>
          </w:tcPr>
          <w:p>
            <w:r/>
            <w:r>
              <w:rPr>
                <w:b w:val="0"/>
                <w:color w:val="1F2328"/>
                <w:sz w:val="18"/>
              </w:rPr>
              <w:t>Residual rating</w:t>
            </w:r>
          </w:p>
        </w:tc>
        <w:tc>
          <w:tcPr>
            <w:tcW w:type="dxa" w:w="7686"/>
          </w:tcPr>
          <w:p>
            <w:r/>
            <w:r>
              <w:rPr>
                <w:b w:val="0"/>
                <w:color w:val="1F2328"/>
                <w:sz w:val="18"/>
              </w:rPr>
              <w:t>The RAM band after treatment. These minutes record acceptance; they do not recalibrate scales.</w:t>
            </w:r>
          </w:p>
        </w:tc>
      </w:tr>
      <w:tr>
        <w:trPr>
          <w:cantSplit/>
        </w:trPr>
        <w:tc>
          <w:tcPr>
            <w:tcW w:type="dxa" w:w="2394"/>
          </w:tcPr>
          <w:p>
            <w:r/>
            <w:r>
              <w:rPr>
                <w:b w:val="0"/>
                <w:color w:val="1F2328"/>
                <w:sz w:val="18"/>
              </w:rPr>
              <w:t>Condition</w:t>
            </w:r>
          </w:p>
        </w:tc>
        <w:tc>
          <w:tcPr>
            <w:tcW w:type="dxa" w:w="7686"/>
          </w:tcPr>
          <w:p>
            <w:r/>
            <w:r>
              <w:rPr>
                <w:b w:val="0"/>
                <w:color w:val="1F2328"/>
                <w:sz w:val="18"/>
              </w:rPr>
              <w:t>A time-bound limit on the acceptance. Expiry without review withdraws the acceptance.</w:t>
            </w:r>
          </w:p>
        </w:tc>
      </w:tr>
      <w:tr>
        <w:trPr>
          <w:cantSplit/>
        </w:trPr>
        <w:tc>
          <w:tcPr>
            <w:tcW w:type="dxa" w:w="2394"/>
          </w:tcPr>
          <w:p>
            <w:r/>
            <w:r>
              <w:rPr>
                <w:b w:val="0"/>
                <w:color w:val="1F2328"/>
                <w:sz w:val="18"/>
              </w:rPr>
              <w:t>RAMT</w:t>
            </w:r>
          </w:p>
        </w:tc>
        <w:tc>
          <w:tcPr>
            <w:tcW w:type="dxa" w:w="7686"/>
          </w:tcPr>
          <w:p>
            <w:r/>
            <w:r>
              <w:rPr>
                <w:b w:val="0"/>
                <w:color w:val="1F2328"/>
                <w:sz w:val="18"/>
              </w:rPr>
              <w:t>Risk Acceptance Minutes. One acceptance decision per freeze.</w:t>
            </w:r>
          </w:p>
        </w:tc>
      </w:tr>
      <w:tr>
        <w:trPr>
          <w:cantSplit/>
        </w:trPr>
        <w:tc>
          <w:tcPr>
            <w:tcW w:type="dxa" w:w="2394"/>
          </w:tcPr>
          <w:p>
            <w:r/>
            <w:r>
              <w:rPr>
                <w:b w:val="0"/>
                <w:color w:val="1F2328"/>
                <w:sz w:val="18"/>
              </w:rPr>
              <w:t>RR</w:t>
            </w:r>
          </w:p>
        </w:tc>
        <w:tc>
          <w:tcPr>
            <w:tcW w:type="dxa" w:w="7686"/>
          </w:tcPr>
          <w:p>
            <w:r/>
            <w:r>
              <w:rPr>
                <w:b w:val="0"/>
                <w:color w:val="1F2328"/>
                <w:sz w:val="18"/>
              </w:rPr>
              <w:t>Risk Register. The live row cites this Document Control version.</w:t>
            </w:r>
          </w:p>
        </w:tc>
      </w:tr>
    </w:tbl>
    <w:p>
      <w:pPr>
        <w:spacing w:before="0" w:after="120"/>
      </w:pPr>
    </w:p>
    <w:p>
      <w:pPr>
        <w:pStyle w:val="974"/>
        <w:outlineLvl w:val="1"/>
      </w:pPr>
      <w:bookmarkStart w:id="8" w:name="_TocRAM005"/>
      <w:r>
        <w:t>Attendance and independence</w:t>
      </w:r>
      <w:bookmarkEnd w:id="8"/>
    </w:p>
    <w:p>
      <w:r>
        <w:rPr>
          <w:b w:val="0"/>
        </w:rPr>
        <w:t>Record who sat this freeze, who chaired it and who took the minutes. The risk owner must not be the sole approver for residual High or Critical. Independence is a named role, not a team inbox.</w:t>
      </w:r>
    </w:p>
    <w:p>
      <w:pPr>
        <w:spacing w:before="40" w:after="0"/>
      </w:pPr>
      <w:r>
        <w:rPr>
          <w:color w:val="5B5B5B"/>
          <w:sz w:val="18"/>
        </w:rPr>
        <w:t>Meeting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Mode</w:t>
      </w:r>
    </w:p>
    <w:p>
      <w:pPr>
        <w:spacing w:before="0" w:after="200"/>
        <w:shd w:val="clear" w:fill="F4F6F8"/>
        <w:pBdr>
          <w:bottom w:val="single" w:sz="8" w:space="1" w:color="8A8A8A"/>
        </w:pBdr>
      </w:pPr>
      <w:r>
        <w:rPr>
          <w:b w:val="0"/>
          <w:color w:val="222222"/>
        </w:rPr>
        <w:t>Video</w:t>
      </w:r>
    </w:p>
    <w:p>
      <w:pPr>
        <w:spacing w:before="40" w:after="0"/>
      </w:pPr>
      <w:r>
        <w:rPr>
          <w:color w:val="5B5B5B"/>
          <w:sz w:val="18"/>
        </w:rPr>
        <w:t>Chair</w:t>
      </w:r>
    </w:p>
    <w:p>
      <w:pPr>
        <w:spacing w:before="0" w:after="200"/>
        <w:shd w:val="clear" w:fill="F4F6F8"/>
        <w:pBdr>
          <w:bottom w:val="single" w:sz="8" w:space="1" w:color="8A8A8A"/>
        </w:pBdr>
      </w:pPr>
      <w:r>
        <w:rPr>
          <w:b w:val="0"/>
          <w:color w:val="222222"/>
        </w:rPr>
        <w:t>Top Management</w:t>
      </w:r>
    </w:p>
    <w:p>
      <w:pPr>
        <w:spacing w:before="40" w:after="0"/>
      </w:pPr>
      <w:r>
        <w:rPr>
          <w:color w:val="5B5B5B"/>
          <w:sz w:val="18"/>
        </w:rPr>
        <w:t>Recorder</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Document Control version cited</w:t>
      </w:r>
    </w:p>
    <w:p>
      <w:pPr>
        <w:spacing w:before="0" w:after="200"/>
        <w:shd w:val="clear" w:fill="F4F6F8"/>
        <w:pBdr>
          <w:bottom w:val="single" w:sz="8" w:space="1" w:color="8A8A8A"/>
        </w:pBdr>
      </w:pPr>
      <w:r>
        <w:rPr>
          <w:b w:val="0"/>
          <w:color w:val="222222"/>
        </w:rPr>
        <w:t>1.1</w:t>
      </w:r>
    </w:p>
    <w:p>
      <w:pPr>
        <w:spacing w:before="40" w:after="0"/>
      </w:pPr>
      <w:r>
        <w:rPr>
          <w:color w:val="5B5B5B"/>
          <w:sz w:val="18"/>
        </w:rPr>
        <w:t>Decision</w:t>
      </w:r>
    </w:p>
    <w:p>
      <w:pPr>
        <w:spacing w:before="0" w:after="200"/>
        <w:shd w:val="clear" w:fill="F4F6F8"/>
        <w:pBdr>
          <w:bottom w:val="single" w:sz="8" w:space="1" w:color="8A8A8A"/>
        </w:pBdr>
      </w:pPr>
      <w:r>
        <w:rPr>
          <w:b w:val="0"/>
          <w:color w:val="222222"/>
        </w:rPr>
        <w:t>Accepted with conditions</w:t>
      </w:r>
    </w:p>
    <w:tbl>
      <w:tblPr>
        <w:tblStyle w:val="1033"/>
        <w:tblW w:type="dxa" w:w="10080"/>
        <w:jc w:val="left"/>
        <w:tblLayout w:type="fixed"/>
        <w:tblLook w:firstColumn="1" w:firstRow="1" w:lastColumn="0" w:lastRow="0" w:noHBand="0" w:noVBand="1" w:val="04A0"/>
      </w:tblPr>
      <w:tblGrid>
        <w:gridCol w:w="2854"/>
        <w:gridCol w:w="1864"/>
        <w:gridCol w:w="1288"/>
        <w:gridCol w:w="4074"/>
      </w:tblGrid>
      <w:tr>
        <w:trPr>
          <w:tblHeader/>
          <w:cantSplit/>
        </w:trPr>
        <w:tc>
          <w:tcPr>
            <w:tcW w:type="dxa" w:w="2854"/>
            <w:shd w:fill="F7F9FC"/>
          </w:tcPr>
          <w:p>
            <w:r/>
            <w:r>
              <w:rPr>
                <w:b/>
                <w:color w:val="1F6FEB"/>
                <w:sz w:val="18"/>
              </w:rPr>
              <w:t>Role</w:t>
            </w:r>
          </w:p>
        </w:tc>
        <w:tc>
          <w:tcPr>
            <w:tcW w:type="dxa" w:w="1864"/>
            <w:shd w:fill="F7F9FC"/>
          </w:tcPr>
          <w:p>
            <w:r/>
            <w:r>
              <w:rPr>
                <w:b/>
                <w:color w:val="1F6FEB"/>
                <w:sz w:val="18"/>
              </w:rPr>
              <w:t>Name</w:t>
            </w:r>
          </w:p>
        </w:tc>
        <w:tc>
          <w:tcPr>
            <w:tcW w:type="dxa" w:w="1288"/>
            <w:shd w:fill="F7F9FC"/>
          </w:tcPr>
          <w:p>
            <w:r/>
            <w:r>
              <w:rPr>
                <w:b/>
                <w:color w:val="1F6FEB"/>
                <w:sz w:val="18"/>
              </w:rPr>
              <w:t>Present</w:t>
            </w:r>
          </w:p>
        </w:tc>
        <w:tc>
          <w:tcPr>
            <w:tcW w:type="dxa" w:w="4074"/>
            <w:shd w:fill="F7F9FC"/>
          </w:tcPr>
          <w:p>
            <w:r/>
            <w:r>
              <w:rPr>
                <w:b/>
                <w:color w:val="1F6FEB"/>
                <w:sz w:val="18"/>
              </w:rPr>
              <w:t>Independence</w:t>
            </w:r>
          </w:p>
        </w:tc>
      </w:tr>
      <w:tr>
        <w:trPr>
          <w:cantSplit/>
        </w:trPr>
        <w:tc>
          <w:tcPr>
            <w:tcW w:type="dxa" w:w="2854"/>
          </w:tcPr>
          <w:p>
            <w:r/>
            <w:r>
              <w:rPr>
                <w:b w:val="0"/>
                <w:color w:val="1F2328"/>
                <w:sz w:val="18"/>
              </w:rPr>
              <w:t>Risk owner</w:t>
            </w:r>
          </w:p>
        </w:tc>
        <w:tc>
          <w:tcPr>
            <w:tcW w:type="dxa" w:w="1864"/>
          </w:tcPr>
          <w:p>
            <w:r/>
            <w:r>
              <w:rPr>
                <w:b w:val="0"/>
                <w:color w:val="1F2328"/>
                <w:sz w:val="18"/>
              </w:rPr>
              <w:t>Supplier Manager</w:t>
            </w:r>
          </w:p>
        </w:tc>
        <w:tc>
          <w:tcPr>
            <w:tcW w:type="dxa" w:w="1288"/>
          </w:tcPr>
          <w:p>
            <w:r/>
            <w:r>
              <w:rPr>
                <w:b w:val="0"/>
                <w:color w:val="1F2328"/>
                <w:sz w:val="18"/>
              </w:rPr>
              <w:t>Yes</w:t>
            </w:r>
          </w:p>
        </w:tc>
        <w:tc>
          <w:tcPr>
            <w:tcW w:type="dxa" w:w="4074"/>
          </w:tcPr>
          <w:p>
            <w:r/>
            <w:r>
              <w:rPr>
                <w:b w:val="0"/>
                <w:color w:val="1F2328"/>
                <w:sz w:val="18"/>
              </w:rPr>
              <w:t>Cannot be the sole approver for residual High or Critical</w:t>
            </w:r>
          </w:p>
        </w:tc>
      </w:tr>
      <w:tr>
        <w:trPr>
          <w:cantSplit/>
        </w:trPr>
        <w:tc>
          <w:tcPr>
            <w:tcW w:type="dxa" w:w="2854"/>
          </w:tcPr>
          <w:p>
            <w:r/>
            <w:r>
              <w:rPr>
                <w:b w:val="0"/>
                <w:color w:val="1F2328"/>
                <w:sz w:val="18"/>
              </w:rPr>
              <w:t>Acceptance authority</w:t>
            </w:r>
          </w:p>
        </w:tc>
        <w:tc>
          <w:tcPr>
            <w:tcW w:type="dxa" w:w="1864"/>
          </w:tcPr>
          <w:p>
            <w:r/>
            <w:r>
              <w:rPr>
                <w:b w:val="0"/>
                <w:color w:val="1F2328"/>
                <w:sz w:val="18"/>
              </w:rPr>
              <w:t>Top Management</w:t>
            </w:r>
          </w:p>
        </w:tc>
        <w:tc>
          <w:tcPr>
            <w:tcW w:type="dxa" w:w="1288"/>
          </w:tcPr>
          <w:p>
            <w:r/>
            <w:r>
              <w:rPr>
                <w:b w:val="0"/>
                <w:color w:val="1F2328"/>
                <w:sz w:val="18"/>
              </w:rPr>
              <w:t>Yes</w:t>
            </w:r>
          </w:p>
        </w:tc>
        <w:tc>
          <w:tcPr>
            <w:tcW w:type="dxa" w:w="4074"/>
          </w:tcPr>
          <w:p>
            <w:r/>
            <w:r>
              <w:rPr>
                <w:b w:val="0"/>
                <w:color w:val="1F2328"/>
                <w:sz w:val="18"/>
              </w:rPr>
              <w:t>Approves residual Medium and above under RAM</w:t>
            </w:r>
          </w:p>
        </w:tc>
      </w:tr>
      <w:tr>
        <w:trPr>
          <w:cantSplit/>
        </w:trPr>
        <w:tc>
          <w:tcPr>
            <w:tcW w:type="dxa" w:w="2854"/>
          </w:tcPr>
          <w:p>
            <w:r/>
            <w:r>
              <w:rPr>
                <w:b w:val="0"/>
                <w:color w:val="1F2328"/>
                <w:sz w:val="18"/>
              </w:rPr>
              <w:t>Second assessor / recorder</w:t>
            </w:r>
          </w:p>
        </w:tc>
        <w:tc>
          <w:tcPr>
            <w:tcW w:type="dxa" w:w="1864"/>
          </w:tcPr>
          <w:p>
            <w:r/>
            <w:r>
              <w:rPr>
                <w:b w:val="0"/>
                <w:color w:val="1F2328"/>
                <w:sz w:val="18"/>
              </w:rPr>
              <w:t>ISMS Manager</w:t>
            </w:r>
          </w:p>
        </w:tc>
        <w:tc>
          <w:tcPr>
            <w:tcW w:type="dxa" w:w="1288"/>
          </w:tcPr>
          <w:p>
            <w:r/>
            <w:r>
              <w:rPr>
                <w:b w:val="0"/>
                <w:color w:val="1F2328"/>
                <w:sz w:val="18"/>
              </w:rPr>
              <w:t>Yes</w:t>
            </w:r>
          </w:p>
        </w:tc>
        <w:tc>
          <w:tcPr>
            <w:tcW w:type="dxa" w:w="4074"/>
          </w:tcPr>
          <w:p>
            <w:r/>
            <w:r>
              <w:rPr>
                <w:b w:val="0"/>
                <w:color w:val="1F2328"/>
                <w:sz w:val="18"/>
              </w:rPr>
              <w:t>Not the risk owner</w:t>
            </w:r>
          </w:p>
        </w:tc>
      </w:tr>
    </w:tbl>
    <w:p>
      <w:pPr>
        <w:pStyle w:val="974"/>
        <w:outlineLvl w:val="1"/>
      </w:pPr>
      <w:bookmarkStart w:id="9" w:name="_TocRAM006"/>
      <w:r>
        <w:t>Decision record</w:t>
      </w:r>
      <w:bookmarkEnd w:id="9"/>
    </w:p>
    <w:p>
      <w:r>
        <w:rPr>
          <w:b w:val="0"/>
        </w:rPr>
        <w:t>Copy these fields into RR. Do not accept a residual rating that RAM has not published.</w:t>
      </w:r>
    </w:p>
    <w:p>
      <w:pPr>
        <w:spacing w:before="40" w:after="0"/>
      </w:pPr>
      <w:r>
        <w:rPr>
          <w:color w:val="5B5B5B"/>
          <w:sz w:val="18"/>
        </w:rPr>
        <w:t>Decision</w:t>
      </w:r>
    </w:p>
    <w:p>
      <w:pPr>
        <w:spacing w:before="0" w:after="200"/>
        <w:shd w:val="clear" w:fill="F4F6F8"/>
        <w:pBdr>
          <w:bottom w:val="single" w:sz="8" w:space="1" w:color="8A8A8A"/>
        </w:pBdr>
      </w:pPr>
      <w:r>
        <w:rPr>
          <w:b w:val="0"/>
          <w:color w:val="222222"/>
        </w:rPr>
        <w:t>Accepted with conditions</w:t>
      </w:r>
    </w:p>
    <w:p>
      <w:pPr>
        <w:spacing w:before="40" w:after="0"/>
      </w:pPr>
      <w:r>
        <w:rPr>
          <w:color w:val="5B5B5B"/>
          <w:sz w:val="18"/>
        </w:rPr>
        <w:t>Expiry</w:t>
      </w:r>
    </w:p>
    <w:p>
      <w:pPr>
        <w:spacing w:before="0" w:after="200"/>
        <w:shd w:val="clear" w:fill="F4F6F8"/>
        <w:pBdr>
          <w:bottom w:val="single" w:sz="8" w:space="1" w:color="8A8A8A"/>
        </w:pBdr>
      </w:pPr>
      <w:r>
        <w:rPr>
          <w:b w:val="0"/>
          <w:color w:val="222222"/>
        </w:rPr>
        <w:t>2026-12-15 unless a new RAMT freeze is approved</w:t>
      </w:r>
    </w:p>
    <w:p>
      <w:pPr>
        <w:spacing w:before="40" w:after="0"/>
      </w:pPr>
      <w:r>
        <w:rPr>
          <w:color w:val="5B5B5B"/>
          <w:sz w:val="18"/>
        </w:rPr>
        <w:t>Risk ID</w:t>
      </w:r>
    </w:p>
    <w:p>
      <w:pPr>
        <w:spacing w:before="0" w:after="200"/>
        <w:shd w:val="clear" w:fill="F4F6F8"/>
        <w:pBdr>
          <w:bottom w:val="single" w:sz="8" w:space="1" w:color="8A8A8A"/>
        </w:pBdr>
      </w:pPr>
      <w:r>
        <w:rPr>
          <w:b w:val="0"/>
          <w:color w:val="222222"/>
        </w:rPr>
        <w:t>R-021</w:t>
      </w:r>
    </w:p>
    <w:p>
      <w:pPr>
        <w:spacing w:before="40" w:after="0"/>
      </w:pPr>
      <w:r>
        <w:rPr>
          <w:color w:val="5B5B5B"/>
          <w:sz w:val="18"/>
        </w:rPr>
        <w:t>Risk title</w:t>
      </w:r>
    </w:p>
    <w:p>
      <w:pPr>
        <w:spacing w:before="0" w:after="200"/>
        <w:shd w:val="clear" w:fill="F4F6F8"/>
        <w:pBdr>
          <w:bottom w:val="single" w:sz="8" w:space="1" w:color="8A8A8A"/>
        </w:pBdr>
      </w:pPr>
      <w:r>
        <w:rPr>
          <w:b w:val="0"/>
          <w:color w:val="222222"/>
        </w:rPr>
        <w:t>Supplier DPIA (Data Protection Impact Assessment) gaps for imaging SaaS (Software as a Service) on Arcfield Platform</w:t>
      </w:r>
    </w:p>
    <w:p>
      <w:pPr>
        <w:spacing w:before="40" w:after="0"/>
      </w:pPr>
      <w:r>
        <w:rPr>
          <w:color w:val="5B5B5B"/>
          <w:sz w:val="18"/>
        </w:rPr>
        <w:t>Inherent rating</w:t>
      </w:r>
    </w:p>
    <w:p>
      <w:pPr>
        <w:spacing w:before="0" w:after="200"/>
        <w:shd w:val="clear" w:fill="F4F6F8"/>
        <w:pBdr>
          <w:bottom w:val="single" w:sz="8" w:space="1" w:color="8A8A8A"/>
        </w:pBdr>
      </w:pPr>
      <w:r>
        <w:rPr>
          <w:b w:val="0"/>
          <w:color w:val="222222"/>
        </w:rPr>
        <w:t>High</w:t>
      </w:r>
    </w:p>
    <w:p>
      <w:pPr>
        <w:spacing w:before="40" w:after="0"/>
      </w:pPr>
      <w:r>
        <w:rPr>
          <w:color w:val="5B5B5B"/>
          <w:sz w:val="18"/>
        </w:rPr>
        <w:t>Residual rating</w:t>
      </w:r>
    </w:p>
    <w:p>
      <w:pPr>
        <w:spacing w:before="0" w:after="200"/>
        <w:shd w:val="clear" w:fill="F4F6F8"/>
        <w:pBdr>
          <w:bottom w:val="single" w:sz="8" w:space="1" w:color="8A8A8A"/>
        </w:pBdr>
      </w:pPr>
      <w:r>
        <w:rPr>
          <w:b w:val="0"/>
          <w:color w:val="222222"/>
        </w:rPr>
        <w:t>Medium</w:t>
      </w:r>
    </w:p>
    <w:p>
      <w:pPr>
        <w:spacing w:before="40" w:after="0"/>
      </w:pPr>
      <w:r>
        <w:rPr>
          <w:color w:val="5B5B5B"/>
          <w:sz w:val="18"/>
        </w:rPr>
        <w:t>Treatment taken</w:t>
      </w:r>
    </w:p>
    <w:p>
      <w:pPr>
        <w:spacing w:before="0" w:after="200"/>
        <w:shd w:val="clear" w:fill="F4F6F8"/>
        <w:pBdr>
          <w:bottom w:val="single" w:sz="8" w:space="1" w:color="8A8A8A"/>
        </w:pBdr>
      </w:pPr>
      <w:r>
        <w:rPr>
          <w:b w:val="0"/>
          <w:color w:val="222222"/>
        </w:rPr>
        <w:t>Contractual clauses and compensating monitoring</w:t>
      </w:r>
    </w:p>
    <w:p>
      <w:pPr>
        <w:spacing w:before="40" w:after="0"/>
      </w:pPr>
      <w:r>
        <w:rPr>
          <w:color w:val="5B5B5B"/>
          <w:sz w:val="18"/>
        </w:rPr>
        <w:t>Related SoA controls</w:t>
      </w:r>
    </w:p>
    <w:p>
      <w:pPr>
        <w:spacing w:before="0" w:after="200"/>
        <w:shd w:val="clear" w:fill="F4F6F8"/>
        <w:pBdr>
          <w:bottom w:val="single" w:sz="8" w:space="1" w:color="8A8A8A"/>
        </w:pBdr>
      </w:pPr>
      <w:r>
        <w:rPr>
          <w:b w:val="0"/>
          <w:color w:val="222222"/>
        </w:rPr>
        <w:t>A.5.19, A.5.21</w:t>
      </w:r>
    </w:p>
    <w:p>
      <w:pPr>
        <w:pStyle w:val="974"/>
        <w:outlineLvl w:val="1"/>
      </w:pPr>
      <w:bookmarkStart w:id="10" w:name="_TocRAM007"/>
      <w:r>
        <w:t>Conditions and expiry</w:t>
      </w:r>
      <w:bookmarkEnd w:id="10"/>
    </w:p>
    <w:p>
      <w:r>
        <w:rPr>
          <w:b w:val="0"/>
        </w:rPr>
        <w:t>Expiry without review withdraws the acceptance. Do not wait for the quarterly cycle when the supplier's DPIA status changes.</w:t>
      </w:r>
    </w:p>
    <w:p>
      <w:pPr>
        <w:pStyle w:val="1003"/>
        <w:ind w:left="360" w:hanging="259"/>
      </w:pPr>
      <w:r>
        <w:rPr>
          <w:b w:val="0"/>
        </w:rPr>
        <w:t>Acceptance expires 2026-12-15 unless a new RAMT freeze is approved.</w:t>
      </w:r>
    </w:p>
    <w:p>
      <w:pPr>
        <w:pStyle w:val="1003"/>
        <w:ind w:left="360" w:hanging="259"/>
      </w:pPr>
      <w:r>
        <w:rPr>
          <w:b w:val="0"/>
        </w:rPr>
        <w:t>Reassess immediately after a supplier incident, DPIA refusal or Arcfield Platform architecture change that widens imaging data flow.</w:t>
      </w:r>
    </w:p>
    <w:p>
      <w:pPr>
        <w:pStyle w:val="1003"/>
        <w:ind w:left="360" w:hanging="259"/>
      </w:pPr>
      <w:r>
        <w:rPr>
          <w:b w:val="0"/>
        </w:rPr>
        <w:t>Compensating control: weekly access review of the supplier's production connector, evidence in the supplier register.</w:t>
      </w:r>
    </w:p>
    <w:p>
      <w:pPr>
        <w:pStyle w:val="974"/>
        <w:outlineLvl w:val="1"/>
      </w:pPr>
      <w:bookmarkStart w:id="11" w:name="_TocRAM008"/>
      <w:r>
        <w:t>Cadence and triggers</w:t>
      </w:r>
      <w:bookmarkEnd w:id="11"/>
    </w:p>
    <w:p>
      <w:r>
        <w:rPr>
          <w:b w:val="0"/>
        </w:rPr>
        <w:t>These minutes are a freeze. A changed residual band is a new RAMT version and a new RR citation. Do not edit an approved decision in place.</w:t>
      </w:r>
    </w:p>
    <w:p>
      <w:pPr>
        <w:pStyle w:val="973"/>
        <w:outlineLvl w:val="0"/>
      </w:pPr>
      <w:bookmarkStart w:id="12" w:name="_TocRAM009"/>
      <w:bookmarkStart w:id="2" w:name="ref_evidence_and_records"/>
      <w:r>
        <w:t>Evidence and records</w:t>
      </w:r>
      <w:bookmarkEnd w:id="2"/>
      <w:bookmarkEnd w:id="12"/>
    </w:p>
    <w:p>
      <w:r>
        <w:rPr>
          <w:b w:val="0"/>
        </w:rPr>
        <w:t>Related records live in the approved parent document and the live register this record belongs to. This file cites them; it does not copy their content.</w:t>
      </w:r>
    </w:p>
    <w:p>
      <w:pPr>
        <w:pStyle w:val="973"/>
        <w:outlineLvl w:val="0"/>
      </w:pPr>
      <w:bookmarkStart w:id="13" w:name="_TocRAM010"/>
      <w:bookmarkStart w:id="3" w:name="ref_external_references"/>
      <w:r>
        <w:t>References</w:t>
      </w:r>
      <w:bookmarkEnd w:id="3"/>
      <w:bookmarkEnd w:id="13"/>
    </w:p>
    <w:p>
      <w:r>
        <w:rPr>
          <w:b w:val="0"/>
        </w:rPr>
        <w:t>Cite these sources from workshops and audits. This list names ISO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1"/>
        </w:numPr>
      </w:pPr>
      <w:hyperlink r:id="rId17" w:history="1">
        <w:r>
          <w:rPr>
            <w:color w:val="0563C1"/>
            <w:u w:val="single"/>
          </w:rPr>
          <w:t xml:space="preserve">Building the ISMS, Planning, Risk &amp; Objectives (Clause 6)</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Planning, Risk &amp; Objectives (Clause 6)</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Information Security Policies &amp; Risk Management</w:t>
        </w:r>
      </w:hyperlink>
      <w:r>
        <w:rPr>
          <w:b w:val="0"/>
        </w:rPr>
        <w:t xml:space="preserve"> — Policy framework and risk-based operation.</w:t>
      </w:r>
    </w:p>
    <w:p>
      <w:pPr>
        <w:pStyle w:val="1006"/>
        <w:ind w:left="360" w:hanging="259"/>
        <w:numPr>
          <w:ilvl w:val="0"/>
          <w:numId w:val="11"/>
        </w:numPr>
      </w:pPr>
      <w:hyperlink r:id="rId17" w:history="1">
        <w:r>
          <w:rPr>
            <w:color w:val="0563C1"/>
            <w:u w:val="single"/>
          </w:rPr>
          <w:t xml:space="preserve">RR Risk Register (Building the ISMS, Planning, Risk &amp; Objectives (Clause 6))</w:t>
        </w:r>
      </w:hyperlink>
      <w:r>
        <w:rPr>
          <w:b w:val="0"/>
        </w:rPr>
        <w:t xml:space="preserve"> — Interface record. Cite this Document Control version; do not copy this file into that record.</w:t>
      </w:r>
    </w:p>
    <w:p>
      <w:pPr>
        <w:pStyle w:val="1006"/>
        <w:ind w:left="360" w:hanging="259"/>
        <w:numPr>
          <w:ilvl w:val="0"/>
          <w:numId w:val="11"/>
        </w:numPr>
      </w:pPr>
      <w:hyperlink r:id="rId18" w:history="1">
        <w:r>
          <w:rPr>
            <w:color w:val="0563C1"/>
            <w:u w:val="single"/>
          </w:rPr>
          <w:t xml:space="preserve">DPIA Data Protection Impact Assessment (Dual Compliance, ISO 27001 &amp; EU Data Act)</w:t>
        </w:r>
      </w:hyperlink>
      <w:r>
        <w:rPr>
          <w:b w:val="0"/>
        </w:rPr>
        <w:t xml:space="preserve"> — Interface record. Cite this Document Control version; do not copy this file into that record.</w:t>
      </w:r>
    </w:p>
    <w:p>
      <w:pPr>
        <w:pStyle w:val="1006"/>
        <w:ind w:left="360" w:hanging="259"/>
        <w:numPr>
          <w:ilvl w:val="0"/>
          <w:numId w:val="11"/>
        </w:numPr>
      </w:pPr>
      <w:hyperlink r:id="rId19" w:history="1">
        <w:r>
          <w:rPr>
            <w:color w:val="0563C1"/>
            <w:u w:val="single"/>
          </w:rPr>
          <w:t xml:space="preserve">RTP Risk Treatment Plan (Implementation &amp; Certification, Risk Assessment &amp; Risk Treatment Process)</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Risk Acceptance Minutes (RAMT)</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dp/9789908983448" TargetMode="External"/><Relationship Id="rId18" Type="http://schemas.openxmlformats.org/officeDocument/2006/relationships/hyperlink" Target="https://www.amazon.com/dp/9789908983479" TargetMode="External"/><Relationship Id="rId19" Type="http://schemas.openxmlformats.org/officeDocument/2006/relationships/hyperlink" Target="https://www.amazon.com/s?k=ISO+27001+for+Software+Companies+Implementation+and+Certifi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Acceptance Minutes</dc:title>
  <dc:subject>Official ExportableProof Companion Artifact RAMT</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Minutes</cp:category>
</cp:coreProperties>
</file>