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Management Review Minutes</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defines how Arcfield records management review minutes so decisions, required inputs, residual-risk acceptance, certification status, resource decisions, owners, due dates and follow-up evidence are traceable. These minutes record a dated review of the certified Arcfield Platform ISMS (Information Security Management System)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Top Management</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CISO</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40"/>
        <w:gridCol w:w="1432"/>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40"/>
            <w:shd w:fill="F7F9FC"/>
          </w:tcPr>
          <w:p>
            <w:r/>
            <w:r>
              <w:rPr>
                <w:b/>
                <w:color w:val="1F6FEB"/>
                <w:sz w:val="18"/>
              </w:rPr>
              <w:t>Change</w:t>
            </w:r>
          </w:p>
        </w:tc>
        <w:tc>
          <w:tcPr>
            <w:tcW w:type="dxa" w:w="1432"/>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40"/>
          </w:tcPr>
          <w:p>
            <w:r/>
            <w:r>
              <w:rPr>
                <w:b w:val="0"/>
                <w:color w:val="1F2328"/>
                <w:sz w:val="18"/>
              </w:rPr>
              <w:t>Initial Arcfield Platform publication.</w:t>
            </w:r>
          </w:p>
        </w:tc>
        <w:tc>
          <w:tcPr>
            <w:tcW w:type="dxa" w:w="1432"/>
          </w:tcPr>
          <w:p>
            <w:r/>
            <w:r>
              <w:rPr>
                <w:b w:val="0"/>
                <w:color w:val="1F2328"/>
                <w:sz w:val="18"/>
              </w:rPr>
              <w:t>CISO</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40"/>
          </w:tcPr>
          <w:p>
            <w:r/>
            <w:r>
              <w:rPr>
                <w:b w:val="0"/>
                <w:color w:val="1F2328"/>
                <w:sz w:val="18"/>
              </w:rPr>
              <w:t>Approved Arcfield worked example after the 11 September 2026 internal audit; records ISO/IEC 27001:2022 certificate ARC-ISMS-2025-001 and the first surveillance sitting of 29 August 2026.</w:t>
            </w:r>
          </w:p>
        </w:tc>
        <w:tc>
          <w:tcPr>
            <w:tcW w:type="dxa" w:w="1432"/>
          </w:tcPr>
          <w:p>
            <w:r/>
            <w:r>
              <w:rPr>
                <w:b w:val="0"/>
                <w:color w:val="1F2328"/>
                <w:sz w:val="18"/>
              </w:rPr>
              <w:t>CISO</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Minutes</w:t>
            </w:r>
            <w:r>
              <w:tab/>
            </w:r>
            <w:r>
              <w:fldChar w:fldCharType="begin"/>
              <w:instrText xml:space="preserve"> PAGEREF _TocRAM001 \h </w:instrText>
              <w:fldChar w:fldCharType="separate"/>
              <w:t xml:space="preserve"> </w:t>
              <w:fldChar w:fldCharType="end"/>
            </w:r>
          </w:hyperlink>
        </w:p>
        <w:p>
          <w:pPr>
            <w:pStyle w:val="957"/>
            <w:tabs>
              <w:tab w:val="right" w:leader="dot" w:pos="10080"/>
            </w:tabs>
          </w:pPr>
          <w:hyperlink w:anchor="_TocRAM002" w:history="1">
            <w:r>
              <w:rPr>
                <w:rStyle w:val="955"/>
              </w:rPr>
              <w:t xml:space="preserve">What these minutes are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Meeting information</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Required inputs reviewed</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Decisions and outputs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Action items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Resource and improvement decisions</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Next review tracking</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Evidence and records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References</w:t>
            </w:r>
            <w:r>
              <w:tab/>
            </w:r>
            <w:r>
              <w:fldChar w:fldCharType="begin"/>
              <w:instrText xml:space="preserve"> PAGEREF _TocRAM012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Implementation &amp; Certification, Internal Audit &amp; Management Review</w:t>
            </w:r>
          </w:p>
        </w:tc>
      </w:tr>
    </w:tbl>
    <w:p>
      <w:r>
        <w:br w:type="page"/>
      </w:r>
    </w:p>
    <w:p>
      <w:pPr>
        <w:pStyle w:val="973"/>
        <w:outlineLvl w:val="0"/>
      </w:pPr>
      <w:bookmarkStart w:id="4" w:name="_TocRAM001"/>
      <w:r>
        <w:t>Minutes</w:t>
      </w:r>
      <w:bookmarkEnd w:id="4"/>
    </w:p>
    <w:p>
      <w:pPr>
        <w:pStyle w:val="973"/>
        <w:outlineLvl w:val="0"/>
      </w:pPr>
      <w:bookmarkStart w:id="5" w:name="_TocRAM002"/>
      <w:r>
        <w:t>What these minutes are</w:t>
      </w:r>
      <w:bookmarkEnd w:id="5"/>
    </w:p>
    <w:p>
      <w:r>
        <w:rPr>
          <w:b w:val="0"/>
        </w:rPr>
        <w:t>This document is Arcfield's Management Review Minutes. This sitting (29 August 2026) is in the surveillance after first visit window after ISO (International Organization for Standardization)/IEC 27001:2022 certificate ARC-ISMS-2025-001 (25 April 2025). Capture management review inputs, decisions, outputs and action items. It is not the Risk Assessment Methodology, the live risk register or a second Document Control table. This minutes applies to Arcfield Platform (B2B SaaS (Software as a Service) for regulated fintech and health customers): production, customer data, CI/CD (Continuous Integration / Continuous Delivery), privileged access and critical suppliers. Neighbouring records (ISO, EXR, IAP, CA-ARCFIELD-EN-2025-04-10) cite this Document Control version. Do not copy these paragraphs into them.</w:t>
      </w:r>
    </w:p>
    <w:p>
      <w:pPr>
        <w:pStyle w:val="974"/>
        <w:outlineLvl w:val="1"/>
      </w:pPr>
      <w:bookmarkStart w:id="6" w:name="_TocRAM003"/>
      <w:r>
        <w:t>Scope</w:t>
      </w:r>
      <w:bookmarkEnd w:id="6"/>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these minutes</w:t>
            </w:r>
          </w:p>
        </w:tc>
        <w:tc>
          <w:tcPr>
            <w:tcW w:type="dxa" w:w="7056"/>
            <w:shd w:fill="F7F9FC"/>
          </w:tcPr>
          <w:p>
            <w:r/>
            <w:r>
              <w:rPr>
                <w:b/>
                <w:color w:val="1F6FEB"/>
                <w:sz w:val="18"/>
              </w:rPr>
              <w:t>Not in these minutes</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EXR, IAP.</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7" w:name="_TocRAM004"/>
      <w:r>
        <w:t>Terms used here</w:t>
      </w:r>
      <w:bookmarkEnd w:id="7"/>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Residual rating</w:t>
            </w:r>
          </w:p>
        </w:tc>
        <w:tc>
          <w:tcPr>
            <w:tcW w:type="dxa" w:w="7240"/>
          </w:tcPr>
          <w:p>
            <w:r/>
            <w:r>
              <w:rPr>
                <w:b w:val="0"/>
                <w:color w:val="1F2328"/>
                <w:sz w:val="18"/>
              </w:rPr>
              <w:t>The rating after treatment using the published RAM bands. These minutes record acceptance; they do not recalibrate RAM.</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r>
        <w:trPr>
          <w:cantSplit/>
        </w:trPr>
        <w:tc>
          <w:tcPr>
            <w:tcW w:type="dxa" w:w="2840"/>
          </w:tcPr>
          <w:p>
            <w:r/>
            <w:r>
              <w:rPr>
                <w:b w:val="0"/>
                <w:color w:val="1F2328"/>
                <w:sz w:val="18"/>
              </w:rPr>
              <w:t>Surveillance cycle</w:t>
            </w:r>
          </w:p>
        </w:tc>
        <w:tc>
          <w:tcPr>
            <w:tcW w:type="dxa" w:w="7240"/>
          </w:tcPr>
          <w:p>
            <w:r/>
            <w:r>
              <w:rPr>
                <w:b w:val="0"/>
                <w:color w:val="1F2328"/>
                <w:sz w:val="18"/>
              </w:rPr>
              <w:t>The three-year ISO/IEC 27001:2022 cycle after certificate issue. First surveillance is due April 2026.</w:t>
            </w:r>
          </w:p>
        </w:tc>
      </w:tr>
    </w:tbl>
    <w:p>
      <w:pPr>
        <w:spacing w:before="0" w:after="120"/>
      </w:pPr>
    </w:p>
    <w:p>
      <w:pPr>
        <w:pStyle w:val="974"/>
        <w:outlineLvl w:val="1"/>
      </w:pPr>
      <w:bookmarkStart w:id="8" w:name="_TocRAM005"/>
      <w:r>
        <w:t>Meeting information</w:t>
      </w:r>
      <w:bookmarkEnd w:id="8"/>
    </w:p>
    <w:p>
      <w:r>
        <w:rPr>
          <w:b w:val="0"/>
        </w:rPr>
        <w:t>Record the meeting date, mode, chair, recorder and who was present before you write conclusions. This is the 29 August 2026 Arcfield Platform management review in the surveillance after first visit cycle, not a second Document Control table.</w:t>
      </w:r>
    </w:p>
    <w:p>
      <w:pPr>
        <w:spacing w:before="40" w:after="0"/>
      </w:pPr>
      <w:r>
        <w:rPr>
          <w:color w:val="5B5B5B"/>
          <w:sz w:val="18"/>
        </w:rPr>
        <w:t>Meeting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Mode</w:t>
      </w:r>
    </w:p>
    <w:p>
      <w:pPr>
        <w:spacing w:before="0" w:after="200"/>
        <w:shd w:val="clear" w:fill="F4F6F8"/>
        <w:pBdr>
          <w:bottom w:val="single" w:sz="8" w:space="1" w:color="8A8A8A"/>
        </w:pBdr>
      </w:pPr>
      <w:r>
        <w:rPr>
          <w:b w:val="0"/>
          <w:color w:val="222222"/>
        </w:rPr>
        <w:t>Video</w:t>
      </w:r>
    </w:p>
    <w:p>
      <w:pPr>
        <w:spacing w:before="40" w:after="0"/>
      </w:pPr>
      <w:r>
        <w:rPr>
          <w:color w:val="5B5B5B"/>
          <w:sz w:val="18"/>
        </w:rPr>
        <w:t>Chair</w:t>
      </w:r>
    </w:p>
    <w:p>
      <w:pPr>
        <w:spacing w:before="0" w:after="200"/>
        <w:shd w:val="clear" w:fill="F4F6F8"/>
        <w:pBdr>
          <w:bottom w:val="single" w:sz="8" w:space="1" w:color="8A8A8A"/>
        </w:pBdr>
      </w:pPr>
      <w:r>
        <w:rPr>
          <w:b w:val="0"/>
          <w:color w:val="222222"/>
        </w:rPr>
        <w:t>Top Management</w:t>
      </w:r>
    </w:p>
    <w:p>
      <w:pPr>
        <w:spacing w:before="40" w:after="0"/>
      </w:pPr>
      <w:r>
        <w:rPr>
          <w:color w:val="5B5B5B"/>
          <w:sz w:val="18"/>
        </w:rPr>
        <w:t>Recorder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Review period</w:t>
      </w:r>
    </w:p>
    <w:p>
      <w:pPr>
        <w:spacing w:before="0" w:after="200"/>
        <w:shd w:val="clear" w:fill="F4F6F8"/>
        <w:pBdr>
          <w:bottom w:val="single" w:sz="8" w:space="1" w:color="8A8A8A"/>
        </w:pBdr>
      </w:pPr>
      <w:r>
        <w:rPr>
          <w:b w:val="0"/>
          <w:color w:val="222222"/>
        </w:rPr>
        <w:t>2026-06-01 to 2026-08-29</w:t>
      </w:r>
    </w:p>
    <w:p>
      <w:pPr>
        <w:spacing w:before="40" w:after="0"/>
      </w:pPr>
      <w:r>
        <w:rPr>
          <w:color w:val="5B5B5B"/>
          <w:sz w:val="18"/>
        </w:rPr>
        <w:t>Document Control version cited</w:t>
      </w:r>
    </w:p>
    <w:p>
      <w:pPr>
        <w:spacing w:before="0" w:after="200"/>
        <w:shd w:val="clear" w:fill="F4F6F8"/>
        <w:pBdr>
          <w:bottom w:val="single" w:sz="8" w:space="1" w:color="8A8A8A"/>
        </w:pBdr>
      </w:pPr>
      <w:r>
        <w:rPr>
          <w:b w:val="0"/>
          <w:color w:val="222222"/>
        </w:rPr>
        <w:t>1.1</w:t>
      </w:r>
    </w:p>
    <w:tbl>
      <w:tblPr>
        <w:tblStyle w:val="1033"/>
        <w:tblW w:type="dxa" w:w="10080"/>
        <w:jc w:val="left"/>
        <w:tblLayout w:type="fixed"/>
        <w:tblLook w:firstColumn="1" w:firstRow="1" w:lastColumn="0" w:lastRow="0" w:noHBand="0" w:noVBand="1" w:val="04A0"/>
      </w:tblPr>
      <w:tblGrid>
        <w:gridCol w:w="4247"/>
        <w:gridCol w:w="1288"/>
        <w:gridCol w:w="4545"/>
      </w:tblGrid>
      <w:tr>
        <w:trPr>
          <w:tblHeader/>
          <w:cantSplit/>
        </w:trPr>
        <w:tc>
          <w:tcPr>
            <w:tcW w:type="dxa" w:w="4247"/>
            <w:shd w:fill="F7F9FC"/>
          </w:tcPr>
          <w:p>
            <w:r/>
            <w:r>
              <w:rPr>
                <w:b/>
                <w:color w:val="1F6FEB"/>
                <w:sz w:val="18"/>
              </w:rPr>
              <w:t>Role</w:t>
            </w:r>
          </w:p>
        </w:tc>
        <w:tc>
          <w:tcPr>
            <w:tcW w:type="dxa" w:w="1288"/>
            <w:shd w:fill="F7F9FC"/>
          </w:tcPr>
          <w:p>
            <w:r/>
            <w:r>
              <w:rPr>
                <w:b/>
                <w:color w:val="1F6FEB"/>
                <w:sz w:val="18"/>
              </w:rPr>
              <w:t>Present</w:t>
            </w:r>
          </w:p>
        </w:tc>
        <w:tc>
          <w:tcPr>
            <w:tcW w:type="dxa" w:w="4545"/>
            <w:shd w:fill="F7F9FC"/>
          </w:tcPr>
          <w:p>
            <w:r/>
            <w:r>
              <w:rPr>
                <w:b/>
                <w:color w:val="1F6FEB"/>
                <w:sz w:val="18"/>
              </w:rPr>
              <w:t>Capacity</w:t>
            </w:r>
          </w:p>
        </w:tc>
      </w:tr>
      <w:tr>
        <w:trPr>
          <w:cantSplit/>
        </w:trPr>
        <w:tc>
          <w:tcPr>
            <w:tcW w:type="dxa" w:w="4247"/>
          </w:tcPr>
          <w:p>
            <w:r/>
            <w:r>
              <w:rPr>
                <w:b w:val="0"/>
                <w:color w:val="1F2328"/>
                <w:sz w:val="18"/>
              </w:rPr>
              <w:t>Top Management</w:t>
            </w:r>
          </w:p>
        </w:tc>
        <w:tc>
          <w:tcPr>
            <w:tcW w:type="dxa" w:w="1288"/>
          </w:tcPr>
          <w:p>
            <w:r/>
            <w:r>
              <w:rPr>
                <w:b w:val="0"/>
                <w:color w:val="1F2328"/>
                <w:sz w:val="18"/>
              </w:rPr>
              <w:t>Yes</w:t>
            </w:r>
          </w:p>
        </w:tc>
        <w:tc>
          <w:tcPr>
            <w:tcW w:type="dxa" w:w="4545"/>
          </w:tcPr>
          <w:p>
            <w:r/>
            <w:r>
              <w:rPr>
                <w:b w:val="0"/>
                <w:color w:val="1F2328"/>
                <w:sz w:val="18"/>
              </w:rPr>
              <w:t>Chair</w:t>
            </w:r>
          </w:p>
        </w:tc>
      </w:tr>
      <w:tr>
        <w:trPr>
          <w:cantSplit/>
        </w:trPr>
        <w:tc>
          <w:tcPr>
            <w:tcW w:type="dxa" w:w="4247"/>
          </w:tcPr>
          <w:p>
            <w:r/>
            <w:r>
              <w:rPr>
                <w:b w:val="0"/>
                <w:color w:val="1F2328"/>
                <w:sz w:val="18"/>
              </w:rPr>
              <w:t>ISMS Manager</w:t>
            </w:r>
          </w:p>
        </w:tc>
        <w:tc>
          <w:tcPr>
            <w:tcW w:type="dxa" w:w="1288"/>
          </w:tcPr>
          <w:p>
            <w:r/>
            <w:r>
              <w:rPr>
                <w:b w:val="0"/>
                <w:color w:val="1F2328"/>
                <w:sz w:val="18"/>
              </w:rPr>
              <w:t>Yes</w:t>
            </w:r>
          </w:p>
        </w:tc>
        <w:tc>
          <w:tcPr>
            <w:tcW w:type="dxa" w:w="4545"/>
          </w:tcPr>
          <w:p>
            <w:r/>
            <w:r>
              <w:rPr>
                <w:b w:val="0"/>
                <w:color w:val="1F2328"/>
                <w:sz w:val="18"/>
              </w:rPr>
              <w:t>Facilitator and recorder</w:t>
            </w:r>
          </w:p>
        </w:tc>
      </w:tr>
      <w:tr>
        <w:trPr>
          <w:cantSplit/>
        </w:trPr>
        <w:tc>
          <w:tcPr>
            <w:tcW w:type="dxa" w:w="4247"/>
          </w:tcPr>
          <w:p>
            <w:r/>
            <w:r>
              <w:rPr>
                <w:b w:val="0"/>
                <w:color w:val="1F2328"/>
                <w:sz w:val="18"/>
              </w:rPr>
              <w:t>Risk Manager</w:t>
            </w:r>
          </w:p>
        </w:tc>
        <w:tc>
          <w:tcPr>
            <w:tcW w:type="dxa" w:w="1288"/>
          </w:tcPr>
          <w:p>
            <w:r/>
            <w:r>
              <w:rPr>
                <w:b w:val="0"/>
                <w:color w:val="1F2328"/>
                <w:sz w:val="18"/>
              </w:rPr>
              <w:t>Yes</w:t>
            </w:r>
          </w:p>
        </w:tc>
        <w:tc>
          <w:tcPr>
            <w:tcW w:type="dxa" w:w="4545"/>
          </w:tcPr>
          <w:p>
            <w:r/>
            <w:r>
              <w:rPr>
                <w:b w:val="0"/>
                <w:color w:val="1F2328"/>
                <w:sz w:val="18"/>
              </w:rPr>
              <w:t>Voting</w:t>
            </w:r>
          </w:p>
        </w:tc>
      </w:tr>
      <w:tr>
        <w:trPr>
          <w:cantSplit/>
        </w:trPr>
        <w:tc>
          <w:tcPr>
            <w:tcW w:type="dxa" w:w="4247"/>
          </w:tcPr>
          <w:p>
            <w:r/>
            <w:r>
              <w:rPr>
                <w:b w:val="0"/>
                <w:color w:val="1F2328"/>
                <w:sz w:val="18"/>
              </w:rPr>
              <w:t>Internal Auditor</w:t>
            </w:r>
          </w:p>
        </w:tc>
        <w:tc>
          <w:tcPr>
            <w:tcW w:type="dxa" w:w="1288"/>
          </w:tcPr>
          <w:p>
            <w:r/>
            <w:r>
              <w:rPr>
                <w:b w:val="0"/>
                <w:color w:val="1F2328"/>
                <w:sz w:val="18"/>
              </w:rPr>
              <w:t>Yes</w:t>
            </w:r>
          </w:p>
        </w:tc>
        <w:tc>
          <w:tcPr>
            <w:tcW w:type="dxa" w:w="4545"/>
          </w:tcPr>
          <w:p>
            <w:r/>
            <w:r>
              <w:rPr>
                <w:b w:val="0"/>
                <w:color w:val="1F2328"/>
                <w:sz w:val="18"/>
              </w:rPr>
              <w:t>Independent observer</w:t>
            </w:r>
          </w:p>
        </w:tc>
      </w:tr>
      <w:tr>
        <w:trPr>
          <w:cantSplit/>
        </w:trPr>
        <w:tc>
          <w:tcPr>
            <w:tcW w:type="dxa" w:w="4247"/>
          </w:tcPr>
          <w:p>
            <w:r/>
            <w:r>
              <w:rPr>
                <w:b w:val="0"/>
                <w:color w:val="1F2328"/>
                <w:sz w:val="18"/>
              </w:rPr>
              <w:t>IT Operations Manager</w:t>
            </w:r>
          </w:p>
        </w:tc>
        <w:tc>
          <w:tcPr>
            <w:tcW w:type="dxa" w:w="1288"/>
          </w:tcPr>
          <w:p>
            <w:r/>
            <w:r>
              <w:rPr>
                <w:b w:val="0"/>
                <w:color w:val="1F2328"/>
                <w:sz w:val="18"/>
              </w:rPr>
              <w:t>Yes</w:t>
            </w:r>
          </w:p>
        </w:tc>
        <w:tc>
          <w:tcPr>
            <w:tcW w:type="dxa" w:w="4545"/>
          </w:tcPr>
          <w:p>
            <w:r/>
            <w:r>
              <w:rPr>
                <w:b w:val="0"/>
                <w:color w:val="1F2328"/>
                <w:sz w:val="18"/>
              </w:rPr>
              <w:t>Action owner</w:t>
            </w:r>
          </w:p>
        </w:tc>
      </w:tr>
    </w:tbl>
    <w:p>
      <w:pPr>
        <w:pStyle w:val="974"/>
        <w:outlineLvl w:val="1"/>
      </w:pPr>
      <w:bookmarkStart w:id="9" w:name="_TocRAM006"/>
      <w:r>
        <w:t>Required inputs reviewed</w:t>
      </w:r>
      <w:bookmarkEnd w:id="9"/>
    </w:p>
    <w:p>
      <w:r>
        <w:rPr>
          <w:b w:val="0"/>
        </w:rPr>
        <w:t>Name each Clause 9.3 input that this sitting reviewed, the finding, the companion record cited and what management concluded. Do not copy those files into these minutes.</w:t>
      </w:r>
    </w:p>
    <w:tbl>
      <w:tblPr>
        <w:tblStyle w:val="1033"/>
        <w:tblW w:type="dxa" w:w="10078"/>
        <w:jc w:val="left"/>
        <w:tblLayout w:type="fixed"/>
        <w:tblLook w:firstColumn="1" w:firstRow="1" w:lastColumn="0" w:lastRow="0" w:noHBand="0" w:noVBand="1" w:val="04A0"/>
      </w:tblPr>
      <w:tblGrid>
        <w:gridCol w:w="2267"/>
        <w:gridCol w:w="2772"/>
        <w:gridCol w:w="2772"/>
        <w:gridCol w:w="2267"/>
      </w:tblGrid>
      <w:tr>
        <w:trPr>
          <w:tblHeader/>
          <w:cantSplit/>
        </w:trPr>
        <w:tc>
          <w:tcPr>
            <w:tcW w:type="dxa" w:w="2267"/>
            <w:shd w:fill="F7F9FC"/>
          </w:tcPr>
          <w:p>
            <w:r/>
            <w:r>
              <w:rPr>
                <w:b/>
                <w:color w:val="1F6FEB"/>
                <w:sz w:val="18"/>
              </w:rPr>
              <w:t>Input</w:t>
            </w:r>
          </w:p>
        </w:tc>
        <w:tc>
          <w:tcPr>
            <w:tcW w:type="dxa" w:w="2772"/>
            <w:shd w:fill="F7F9FC"/>
          </w:tcPr>
          <w:p>
            <w:r/>
            <w:r>
              <w:rPr>
                <w:b/>
                <w:color w:val="1F6FEB"/>
                <w:sz w:val="18"/>
              </w:rPr>
              <w:t>Finding</w:t>
            </w:r>
          </w:p>
        </w:tc>
        <w:tc>
          <w:tcPr>
            <w:tcW w:type="dxa" w:w="2772"/>
            <w:shd w:fill="F7F9FC"/>
          </w:tcPr>
          <w:p>
            <w:r/>
            <w:r>
              <w:rPr>
                <w:b/>
                <w:color w:val="1F6FEB"/>
                <w:sz w:val="18"/>
              </w:rPr>
              <w:t>Cited record</w:t>
            </w:r>
          </w:p>
        </w:tc>
        <w:tc>
          <w:tcPr>
            <w:tcW w:type="dxa" w:w="2267"/>
            <w:shd w:fill="F7F9FC"/>
          </w:tcPr>
          <w:p>
            <w:r/>
            <w:r>
              <w:rPr>
                <w:b/>
                <w:color w:val="1F6FEB"/>
                <w:sz w:val="18"/>
              </w:rPr>
              <w:t>Conclusion</w:t>
            </w:r>
          </w:p>
        </w:tc>
      </w:tr>
      <w:tr>
        <w:trPr>
          <w:cantSplit/>
        </w:trPr>
        <w:tc>
          <w:tcPr>
            <w:tcW w:type="dxa" w:w="2267"/>
          </w:tcPr>
          <w:p>
            <w:r/>
            <w:r>
              <w:rPr>
                <w:b w:val="0"/>
                <w:color w:val="1F2328"/>
                <w:sz w:val="18"/>
              </w:rPr>
              <w:t>Previous actions</w:t>
            </w:r>
          </w:p>
        </w:tc>
        <w:tc>
          <w:tcPr>
            <w:tcW w:type="dxa" w:w="2772"/>
          </w:tcPr>
          <w:p>
            <w:r/>
            <w:r>
              <w:rPr>
                <w:b w:val="0"/>
                <w:color w:val="1F2328"/>
                <w:sz w:val="18"/>
              </w:rPr>
              <w:t>8 of 10 actions closed; two access-control actions remain open.</w:t>
            </w:r>
          </w:p>
        </w:tc>
        <w:tc>
          <w:tcPr>
            <w:tcW w:type="dxa" w:w="2772"/>
          </w:tcPr>
          <w:p>
            <w:r/>
            <w:r>
              <w:rPr>
                <w:b w:val="0"/>
                <w:color w:val="1F2328"/>
                <w:sz w:val="18"/>
              </w:rPr>
              <w:t>Prior MRMT action log 2026-Q2</w:t>
            </w:r>
          </w:p>
        </w:tc>
        <w:tc>
          <w:tcPr>
            <w:tcW w:type="dxa" w:w="2267"/>
          </w:tcPr>
          <w:p>
            <w:r/>
            <w:r>
              <w:rPr>
                <w:b w:val="0"/>
                <w:color w:val="1F2328"/>
                <w:sz w:val="18"/>
              </w:rPr>
              <w:t>Continue weekly follow-up.</w:t>
            </w:r>
          </w:p>
        </w:tc>
      </w:tr>
      <w:tr>
        <w:trPr>
          <w:cantSplit/>
        </w:trPr>
        <w:tc>
          <w:tcPr>
            <w:tcW w:type="dxa" w:w="2267"/>
          </w:tcPr>
          <w:p>
            <w:r/>
            <w:r>
              <w:rPr>
                <w:b w:val="0"/>
                <w:color w:val="1F2328"/>
                <w:sz w:val="18"/>
              </w:rPr>
              <w:t>Context changes</w:t>
            </w:r>
          </w:p>
        </w:tc>
        <w:tc>
          <w:tcPr>
            <w:tcW w:type="dxa" w:w="2772"/>
          </w:tcPr>
          <w:p>
            <w:r/>
            <w:r>
              <w:rPr>
                <w:b w:val="0"/>
                <w:color w:val="1F2328"/>
                <w:sz w:val="18"/>
              </w:rPr>
              <w:t>Backup supplier added to the production recovery chain.</w:t>
            </w:r>
          </w:p>
        </w:tc>
        <w:tc>
          <w:tcPr>
            <w:tcW w:type="dxa" w:w="2772"/>
          </w:tcPr>
          <w:p>
            <w:r/>
            <w:r>
              <w:rPr>
                <w:b w:val="0"/>
                <w:color w:val="1F2328"/>
                <w:sz w:val="18"/>
              </w:rPr>
              <w:t>SINV backup supplier row 2026-Q3</w:t>
            </w:r>
          </w:p>
        </w:tc>
        <w:tc>
          <w:tcPr>
            <w:tcW w:type="dxa" w:w="2267"/>
          </w:tcPr>
          <w:p>
            <w:r/>
            <w:r>
              <w:rPr>
                <w:b w:val="0"/>
                <w:color w:val="1F2328"/>
                <w:sz w:val="18"/>
              </w:rPr>
              <w:t>Scope and risk updates required.</w:t>
            </w:r>
          </w:p>
        </w:tc>
      </w:tr>
      <w:tr>
        <w:trPr>
          <w:cantSplit/>
        </w:trPr>
        <w:tc>
          <w:tcPr>
            <w:tcW w:type="dxa" w:w="2267"/>
          </w:tcPr>
          <w:p>
            <w:r/>
            <w:r>
              <w:rPr>
                <w:b w:val="0"/>
                <w:color w:val="1F2328"/>
                <w:sz w:val="18"/>
              </w:rPr>
              <w:t>ISMS performance</w:t>
            </w:r>
          </w:p>
        </w:tc>
        <w:tc>
          <w:tcPr>
            <w:tcW w:type="dxa" w:w="2772"/>
          </w:tcPr>
          <w:p>
            <w:r/>
            <w:r>
              <w:rPr>
                <w:b w:val="0"/>
                <w:color w:val="1F2328"/>
                <w:sz w:val="18"/>
              </w:rPr>
              <w:t>Evidence readiness 88% against the 95% target.</w:t>
            </w:r>
          </w:p>
        </w:tc>
        <w:tc>
          <w:tcPr>
            <w:tcW w:type="dxa" w:w="2772"/>
          </w:tcPr>
          <w:p>
            <w:r/>
            <w:r>
              <w:rPr>
                <w:b w:val="0"/>
                <w:color w:val="1F2328"/>
                <w:sz w:val="18"/>
              </w:rPr>
              <w:t>IMPL-WB review 2026-Q3</w:t>
            </w:r>
          </w:p>
        </w:tc>
        <w:tc>
          <w:tcPr>
            <w:tcW w:type="dxa" w:w="2267"/>
          </w:tcPr>
          <w:p>
            <w:r/>
            <w:r>
              <w:rPr>
                <w:b w:val="0"/>
                <w:color w:val="1F2328"/>
                <w:sz w:val="18"/>
              </w:rPr>
              <w:t>Add an evidence-quality checkpoint.</w:t>
            </w:r>
          </w:p>
        </w:tc>
      </w:tr>
      <w:tr>
        <w:trPr>
          <w:cantSplit/>
        </w:trPr>
        <w:tc>
          <w:tcPr>
            <w:tcW w:type="dxa" w:w="2267"/>
          </w:tcPr>
          <w:p>
            <w:r/>
            <w:r>
              <w:rPr>
                <w:b w:val="0"/>
                <w:color w:val="1F2328"/>
                <w:sz w:val="18"/>
              </w:rPr>
              <w:t>Risk treatment</w:t>
            </w:r>
          </w:p>
        </w:tc>
        <w:tc>
          <w:tcPr>
            <w:tcW w:type="dxa" w:w="2772"/>
          </w:tcPr>
          <w:p>
            <w:r/>
            <w:r>
              <w:rPr>
                <w:b w:val="0"/>
                <w:color w:val="1F2328"/>
                <w:sz w:val="18"/>
              </w:rPr>
              <w:t>Three high-risk items remain open.</w:t>
            </w:r>
          </w:p>
        </w:tc>
        <w:tc>
          <w:tcPr>
            <w:tcW w:type="dxa" w:w="2772"/>
          </w:tcPr>
          <w:p>
            <w:r/>
            <w:r>
              <w:rPr>
                <w:b w:val="0"/>
                <w:color w:val="1F2328"/>
                <w:sz w:val="18"/>
              </w:rPr>
              <w:t>RMP review 2026-Q3</w:t>
            </w:r>
          </w:p>
        </w:tc>
        <w:tc>
          <w:tcPr>
            <w:tcW w:type="dxa" w:w="2267"/>
          </w:tcPr>
          <w:p>
            <w:r/>
            <w:r>
              <w:rPr>
                <w:b w:val="0"/>
                <w:color w:val="1F2328"/>
                <w:sz w:val="18"/>
              </w:rPr>
              <w:t>Escalate overdue items.</w:t>
            </w:r>
          </w:p>
        </w:tc>
      </w:tr>
      <w:tr>
        <w:trPr>
          <w:cantSplit/>
        </w:trPr>
        <w:tc>
          <w:tcPr>
            <w:tcW w:type="dxa" w:w="2267"/>
          </w:tcPr>
          <w:p>
            <w:r/>
            <w:r>
              <w:rPr>
                <w:b w:val="0"/>
                <w:color w:val="1F2328"/>
                <w:sz w:val="18"/>
              </w:rPr>
              <w:t>Audit status</w:t>
            </w:r>
          </w:p>
        </w:tc>
        <w:tc>
          <w:tcPr>
            <w:tcW w:type="dxa" w:w="2772"/>
          </w:tcPr>
          <w:p>
            <w:r/>
            <w:r>
              <w:rPr>
                <w:b w:val="0"/>
                <w:color w:val="1F2328"/>
                <w:sz w:val="18"/>
              </w:rPr>
              <w:t>Internal audit IA-ARCFIELD-EN-2026-09-11 is the documented-information sample for first surveillance (April 2026).</w:t>
            </w:r>
          </w:p>
        </w:tc>
        <w:tc>
          <w:tcPr>
            <w:tcW w:type="dxa" w:w="2772"/>
          </w:tcPr>
          <w:p>
            <w:r/>
            <w:r>
              <w:rPr>
                <w:b w:val="0"/>
                <w:color w:val="1F2328"/>
                <w:sz w:val="18"/>
              </w:rPr>
              <w:t>IAP / IA-ARCFIELD-EN-2026-09-11</w:t>
            </w:r>
          </w:p>
        </w:tc>
        <w:tc>
          <w:tcPr>
            <w:tcW w:type="dxa" w:w="2267"/>
          </w:tcPr>
          <w:p>
            <w:r/>
            <w:r>
              <w:rPr>
                <w:b w:val="0"/>
                <w:color w:val="1F2328"/>
                <w:sz w:val="18"/>
              </w:rPr>
              <w:t>Treat this 9.2 report as surveillance input, not an initial Stage 2.</w:t>
            </w:r>
          </w:p>
        </w:tc>
      </w:tr>
      <w:tr>
        <w:trPr>
          <w:cantSplit/>
        </w:trPr>
        <w:tc>
          <w:tcPr>
            <w:tcW w:type="dxa" w:w="2267"/>
          </w:tcPr>
          <w:p>
            <w:r/>
            <w:r>
              <w:rPr>
                <w:b w:val="0"/>
                <w:color w:val="1F2328"/>
                <w:sz w:val="18"/>
              </w:rPr>
              <w:t>Certification status</w:t>
            </w:r>
          </w:p>
        </w:tc>
        <w:tc>
          <w:tcPr>
            <w:tcW w:type="dxa" w:w="2772"/>
          </w:tcPr>
          <w:p>
            <w:r/>
            <w:r>
              <w:rPr>
                <w:b w:val="0"/>
                <w:color w:val="1F2328"/>
                <w:sz w:val="18"/>
              </w:rPr>
              <w:t>Certificate ARC-ISMS-2025-001 issued 25 April 2025; valid until 24 April 2028; surveillance after first visit due April 2026.</w:t>
            </w:r>
          </w:p>
        </w:tc>
        <w:tc>
          <w:tcPr>
            <w:tcW w:type="dxa" w:w="2772"/>
          </w:tcPr>
          <w:p>
            <w:r/>
            <w:r>
              <w:rPr>
                <w:b w:val="0"/>
                <w:color w:val="1F2328"/>
                <w:sz w:val="18"/>
              </w:rPr>
              <w:t>CA-ARCFIELD-EN-2025-04-10 certification-audit-report-2025.md</w:t>
            </w:r>
          </w:p>
        </w:tc>
        <w:tc>
          <w:tcPr>
            <w:tcW w:type="dxa" w:w="2267"/>
          </w:tcPr>
          <w:p>
            <w:r/>
            <w:r>
              <w:rPr>
                <w:b w:val="0"/>
                <w:color w:val="1F2328"/>
                <w:sz w:val="18"/>
              </w:rPr>
              <w:t>Maintain the certified ISMS; resource first surveillance.</w:t>
            </w:r>
          </w:p>
        </w:tc>
      </w:tr>
      <w:tr>
        <w:trPr>
          <w:cantSplit/>
        </w:trPr>
        <w:tc>
          <w:tcPr>
            <w:tcW w:type="dxa" w:w="2267"/>
          </w:tcPr>
          <w:p>
            <w:r/>
            <w:r>
              <w:rPr>
                <w:b w:val="0"/>
                <w:color w:val="1F2328"/>
                <w:sz w:val="18"/>
              </w:rPr>
              <w:t>INC-2026-0822</w:t>
            </w:r>
          </w:p>
        </w:tc>
        <w:tc>
          <w:tcPr>
            <w:tcW w:type="dxa" w:w="2772"/>
          </w:tcPr>
          <w:p>
            <w:r/>
            <w:r>
              <w:rPr>
                <w:b w:val="0"/>
                <w:color w:val="1F2328"/>
                <w:sz w:val="18"/>
              </w:rPr>
              <w:t>IL-005 High Misconfiguration: controls A.8.9, A.8.32, A.5.15, A.5.37 were less robust than Stage 2 sampled.</w:t>
            </w:r>
          </w:p>
        </w:tc>
        <w:tc>
          <w:tcPr>
            <w:tcW w:type="dxa" w:w="2772"/>
          </w:tcPr>
          <w:p>
            <w:r/>
            <w:r>
              <w:rPr>
                <w:b w:val="0"/>
                <w:color w:val="1F2328"/>
                <w:sz w:val="18"/>
              </w:rPr>
              <w:t>IL-005 / SIR-005 / CAR-2026-027</w:t>
            </w:r>
          </w:p>
        </w:tc>
        <w:tc>
          <w:tcPr>
            <w:tcW w:type="dxa" w:w="2267"/>
          </w:tcPr>
          <w:p>
            <w:r/>
            <w:r>
              <w:rPr>
                <w:b w:val="0"/>
                <w:color w:val="1F2328"/>
                <w:sz w:val="18"/>
              </w:rPr>
              <w:t>Keep Implemented counts; re-sample evidence; do not treat as ISMS collapse.</w:t>
            </w:r>
          </w:p>
        </w:tc>
      </w:tr>
      <w:tr>
        <w:trPr>
          <w:cantSplit/>
        </w:trPr>
        <w:tc>
          <w:tcPr>
            <w:tcW w:type="dxa" w:w="2267"/>
          </w:tcPr>
          <w:p>
            <w:r/>
            <w:r>
              <w:rPr>
                <w:b w:val="0"/>
                <w:color w:val="1F2328"/>
                <w:sz w:val="18"/>
              </w:rPr>
              <w:t>CYB-CLM-2026-001</w:t>
            </w:r>
          </w:p>
        </w:tc>
        <w:tc>
          <w:tcPr>
            <w:tcW w:type="dxa" w:w="2772"/>
          </w:tcPr>
          <w:p>
            <w:r/>
            <w:r>
              <w:rPr>
                <w:b w:val="0"/>
                <w:color w:val="1F2328"/>
                <w:sz w:val="18"/>
              </w:rPr>
              <w:t>Northbridge Cyber (worked example) Denied 2026-09-03: Unapproved production change (policy requires the documented change process); No evidenced first-party loss (12-minute internal drafts; no confirmed customer data)</w:t>
            </w:r>
          </w:p>
        </w:tc>
        <w:tc>
          <w:tcPr>
            <w:tcW w:type="dxa" w:w="2772"/>
          </w:tcPr>
          <w:p>
            <w:r/>
            <w:r>
              <w:rPr>
                <w:b w:val="0"/>
                <w:color w:val="1F2328"/>
                <w:sz w:val="18"/>
              </w:rPr>
              <w:t>RISK-2026-041 / IL-005</w:t>
            </w:r>
          </w:p>
        </w:tc>
        <w:tc>
          <w:tcPr>
            <w:tcW w:type="dxa" w:w="2267"/>
          </w:tcPr>
          <w:p>
            <w:r/>
            <w:r>
              <w:rPr>
                <w:b w:val="0"/>
                <w:color w:val="1F2328"/>
                <w:sz w:val="18"/>
              </w:rPr>
              <w:t>Transfer remains residual risk on Arcfield. Insurance is not a control.</w:t>
            </w:r>
          </w:p>
        </w:tc>
      </w:tr>
      <w:tr>
        <w:trPr>
          <w:cantSplit/>
        </w:trPr>
        <w:tc>
          <w:tcPr>
            <w:tcW w:type="dxa" w:w="2267"/>
          </w:tcPr>
          <w:p>
            <w:r/>
            <w:r>
              <w:rPr>
                <w:b w:val="0"/>
                <w:color w:val="1F2328"/>
                <w:sz w:val="18"/>
              </w:rPr>
              <w:t>Stalled improvements</w:t>
            </w:r>
          </w:p>
        </w:tc>
        <w:tc>
          <w:tcPr>
            <w:tcW w:type="dxa" w:w="2772"/>
          </w:tcPr>
          <w:p>
            <w:r/>
            <w:r>
              <w:rPr>
                <w:b w:val="0"/>
                <w:color w:val="1F2328"/>
                <w:sz w:val="18"/>
              </w:rPr>
              <w:t>The 11 Planned Annex A rows from the 2025 improvement programme have not moved. A.5.27 (learning from incidents) is still Planned after INC-2026-0822.</w:t>
            </w:r>
          </w:p>
        </w:tc>
        <w:tc>
          <w:tcPr>
            <w:tcW w:type="dxa" w:w="2772"/>
          </w:tcPr>
          <w:p>
            <w:r/>
            <w:r>
              <w:rPr>
                <w:b w:val="0"/>
                <w:color w:val="1F2328"/>
                <w:sz w:val="18"/>
              </w:rPr>
              <w:t>SoA Planned A.5.21, A.5.27, A.5.32, A.6.4…</w:t>
            </w:r>
          </w:p>
        </w:tc>
        <w:tc>
          <w:tcPr>
            <w:tcW w:type="dxa" w:w="2267"/>
          </w:tcPr>
          <w:p>
            <w:r/>
            <w:r>
              <w:rPr>
                <w:b w:val="0"/>
                <w:color w:val="1F2328"/>
                <w:sz w:val="18"/>
              </w:rPr>
              <w:t>Do not mark Planned controls Implemented before first surveillance.</w:t>
            </w:r>
          </w:p>
        </w:tc>
      </w:tr>
    </w:tbl>
    <w:p>
      <w:pPr>
        <w:pStyle w:val="974"/>
        <w:outlineLvl w:val="1"/>
      </w:pPr>
      <w:bookmarkStart w:id="10" w:name="_TocRAM007"/>
      <w:r>
        <w:t>Decisions and outputs</w:t>
      </w:r>
      <w:bookmarkEnd w:id="10"/>
    </w:p>
    <w:p>
      <w:r>
        <w:rPr>
          <w:b w:val="0"/>
        </w:rPr>
        <w:t>Write each output as approve, reject, defer or request more evidence. Name the owner, due date and the record that will show the follow-up.</w:t>
      </w:r>
    </w:p>
    <w:tbl>
      <w:tblPr>
        <w:tblStyle w:val="1033"/>
        <w:tblW w:type="dxa" w:w="10078"/>
        <w:jc w:val="left"/>
        <w:tblLayout w:type="fixed"/>
        <w:tblLook w:firstColumn="1" w:firstRow="1" w:lastColumn="0" w:lastRow="0" w:noHBand="0" w:noVBand="1" w:val="04A0"/>
      </w:tblPr>
      <w:tblGrid>
        <w:gridCol w:w="1476"/>
        <w:gridCol w:w="2420"/>
        <w:gridCol w:w="1611"/>
        <w:gridCol w:w="1611"/>
        <w:gridCol w:w="2960"/>
      </w:tblGrid>
      <w:tr>
        <w:trPr>
          <w:tblHeader/>
          <w:cantSplit/>
        </w:trPr>
        <w:tc>
          <w:tcPr>
            <w:tcW w:type="dxa" w:w="1476"/>
            <w:shd w:fill="F7F9FC"/>
          </w:tcPr>
          <w:p>
            <w:r/>
            <w:r>
              <w:rPr>
                <w:b/>
                <w:color w:val="1F6FEB"/>
                <w:sz w:val="18"/>
              </w:rPr>
              <w:t>Decision ID</w:t>
            </w:r>
          </w:p>
        </w:tc>
        <w:tc>
          <w:tcPr>
            <w:tcW w:type="dxa" w:w="2420"/>
            <w:shd w:fill="F7F9FC"/>
          </w:tcPr>
          <w:p>
            <w:r/>
            <w:r>
              <w:rPr>
                <w:b/>
                <w:color w:val="1F6FEB"/>
                <w:sz w:val="18"/>
              </w:rPr>
              <w:t>Decision / Output</w:t>
            </w:r>
          </w:p>
        </w:tc>
        <w:tc>
          <w:tcPr>
            <w:tcW w:type="dxa" w:w="1611"/>
            <w:shd w:fill="F7F9FC"/>
          </w:tcPr>
          <w:p>
            <w:r/>
            <w:r>
              <w:rPr>
                <w:b/>
                <w:color w:val="1F6FEB"/>
                <w:sz w:val="18"/>
              </w:rPr>
              <w:t>Owner</w:t>
            </w:r>
          </w:p>
        </w:tc>
        <w:tc>
          <w:tcPr>
            <w:tcW w:type="dxa" w:w="1611"/>
            <w:shd w:fill="F7F9FC"/>
          </w:tcPr>
          <w:p>
            <w:r/>
            <w:r>
              <w:rPr>
                <w:b/>
                <w:color w:val="1F6FEB"/>
                <w:sz w:val="18"/>
              </w:rPr>
              <w:t>Due date</w:t>
            </w:r>
          </w:p>
        </w:tc>
        <w:tc>
          <w:tcPr>
            <w:tcW w:type="dxa" w:w="2960"/>
            <w:shd w:fill="F7F9FC"/>
          </w:tcPr>
          <w:p>
            <w:r/>
            <w:r>
              <w:rPr>
                <w:b/>
                <w:color w:val="1F6FEB"/>
                <w:sz w:val="18"/>
              </w:rPr>
              <w:t>Cited record</w:t>
            </w:r>
          </w:p>
        </w:tc>
      </w:tr>
      <w:tr>
        <w:trPr>
          <w:cantSplit/>
        </w:trPr>
        <w:tc>
          <w:tcPr>
            <w:tcW w:type="dxa" w:w="1476"/>
          </w:tcPr>
          <w:p>
            <w:r/>
            <w:r>
              <w:rPr>
                <w:b w:val="0"/>
                <w:color w:val="1F2328"/>
                <w:sz w:val="18"/>
              </w:rPr>
              <w:t>MRMT-D001</w:t>
            </w:r>
          </w:p>
        </w:tc>
        <w:tc>
          <w:tcPr>
            <w:tcW w:type="dxa" w:w="2420"/>
          </w:tcPr>
          <w:p>
            <w:r/>
            <w:r>
              <w:rPr>
                <w:b w:val="0"/>
                <w:color w:val="1F2328"/>
                <w:sz w:val="18"/>
              </w:rPr>
              <w:t>Approve weekly evidence-quality checkpoints until audit freeze.</w:t>
            </w:r>
          </w:p>
        </w:tc>
        <w:tc>
          <w:tcPr>
            <w:tcW w:type="dxa" w:w="1611"/>
          </w:tcPr>
          <w:p>
            <w:r/>
            <w:r>
              <w:rPr>
                <w:b w:val="0"/>
                <w:color w:val="1F2328"/>
                <w:sz w:val="18"/>
              </w:rPr>
              <w:t>ISMS Manager</w:t>
            </w:r>
          </w:p>
        </w:tc>
        <w:tc>
          <w:tcPr>
            <w:tcW w:type="dxa" w:w="1611"/>
          </w:tcPr>
          <w:p>
            <w:r/>
            <w:r>
              <w:rPr>
                <w:b w:val="0"/>
                <w:color w:val="1F2328"/>
                <w:sz w:val="18"/>
              </w:rPr>
              <w:t>2026-09-30</w:t>
            </w:r>
          </w:p>
        </w:tc>
        <w:tc>
          <w:tcPr>
            <w:tcW w:type="dxa" w:w="2960"/>
          </w:tcPr>
          <w:p>
            <w:r/>
            <w:r>
              <w:rPr>
                <w:b w:val="0"/>
                <w:color w:val="1F2328"/>
                <w:sz w:val="18"/>
              </w:rPr>
              <w:t>IMPL-WB review 2026-Q3</w:t>
            </w:r>
          </w:p>
        </w:tc>
      </w:tr>
      <w:tr>
        <w:trPr>
          <w:cantSplit/>
        </w:trPr>
        <w:tc>
          <w:tcPr>
            <w:tcW w:type="dxa" w:w="1476"/>
          </w:tcPr>
          <w:p>
            <w:r/>
            <w:r>
              <w:rPr>
                <w:b w:val="0"/>
                <w:color w:val="1F2328"/>
                <w:sz w:val="18"/>
              </w:rPr>
              <w:t>MRMT-D002</w:t>
            </w:r>
          </w:p>
        </w:tc>
        <w:tc>
          <w:tcPr>
            <w:tcW w:type="dxa" w:w="2420"/>
          </w:tcPr>
          <w:p>
            <w:r/>
            <w:r>
              <w:rPr>
                <w:b w:val="0"/>
                <w:color w:val="1F2328"/>
                <w:sz w:val="18"/>
              </w:rPr>
              <w:t>Accept the cloud admin exception only until the closure deadline with compensating monitoring.</w:t>
            </w:r>
          </w:p>
        </w:tc>
        <w:tc>
          <w:tcPr>
            <w:tcW w:type="dxa" w:w="1611"/>
          </w:tcPr>
          <w:p>
            <w:r/>
            <w:r>
              <w:rPr>
                <w:b w:val="0"/>
                <w:color w:val="1F2328"/>
                <w:sz w:val="18"/>
              </w:rPr>
              <w:t>IT Operations Manager</w:t>
            </w:r>
          </w:p>
        </w:tc>
        <w:tc>
          <w:tcPr>
            <w:tcW w:type="dxa" w:w="1611"/>
          </w:tcPr>
          <w:p>
            <w:r/>
            <w:r>
              <w:rPr>
                <w:b w:val="0"/>
                <w:color w:val="1F2328"/>
                <w:sz w:val="18"/>
              </w:rPr>
              <w:t>2026-09-30</w:t>
            </w:r>
          </w:p>
        </w:tc>
        <w:tc>
          <w:tcPr>
            <w:tcW w:type="dxa" w:w="2960"/>
          </w:tcPr>
          <w:p>
            <w:r/>
            <w:r>
              <w:rPr>
                <w:b w:val="0"/>
                <w:color w:val="1F2328"/>
                <w:sz w:val="18"/>
              </w:rPr>
              <w:t>EXR MFA legacy exception 2026-08</w:t>
            </w:r>
          </w:p>
        </w:tc>
      </w:tr>
      <w:tr>
        <w:trPr>
          <w:cantSplit/>
        </w:trPr>
        <w:tc>
          <w:tcPr>
            <w:tcW w:type="dxa" w:w="1476"/>
          </w:tcPr>
          <w:p>
            <w:r/>
            <w:r>
              <w:rPr>
                <w:b w:val="0"/>
                <w:color w:val="1F2328"/>
                <w:sz w:val="18"/>
              </w:rPr>
              <w:t>MRMT-D003</w:t>
            </w:r>
          </w:p>
        </w:tc>
        <w:tc>
          <w:tcPr>
            <w:tcW w:type="dxa" w:w="2420"/>
          </w:tcPr>
          <w:p>
            <w:r/>
            <w:r>
              <w:rPr>
                <w:b w:val="0"/>
                <w:color w:val="1F2328"/>
                <w:sz w:val="18"/>
              </w:rPr>
              <w:t>Require a scope and supplier-risk update for the backup supplier.</w:t>
            </w:r>
          </w:p>
        </w:tc>
        <w:tc>
          <w:tcPr>
            <w:tcW w:type="dxa" w:w="1611"/>
          </w:tcPr>
          <w:p>
            <w:r/>
            <w:r>
              <w:rPr>
                <w:b w:val="0"/>
                <w:color w:val="1F2328"/>
                <w:sz w:val="18"/>
              </w:rPr>
              <w:t>Supplier Manager</w:t>
            </w:r>
          </w:p>
        </w:tc>
        <w:tc>
          <w:tcPr>
            <w:tcW w:type="dxa" w:w="1611"/>
          </w:tcPr>
          <w:p>
            <w:r/>
            <w:r>
              <w:rPr>
                <w:b w:val="0"/>
                <w:color w:val="1F2328"/>
                <w:sz w:val="18"/>
              </w:rPr>
              <w:t>2026-09-20</w:t>
            </w:r>
          </w:p>
        </w:tc>
        <w:tc>
          <w:tcPr>
            <w:tcW w:type="dxa" w:w="2960"/>
          </w:tcPr>
          <w:p>
            <w:r/>
            <w:r>
              <w:rPr>
                <w:b w:val="0"/>
                <w:color w:val="1F2328"/>
                <w:sz w:val="18"/>
              </w:rPr>
              <w:t>SINV backup supplier row 2026-Q3</w:t>
            </w:r>
          </w:p>
        </w:tc>
      </w:tr>
      <w:tr>
        <w:trPr>
          <w:cantSplit/>
        </w:trPr>
        <w:tc>
          <w:tcPr>
            <w:tcW w:type="dxa" w:w="1476"/>
          </w:tcPr>
          <w:p>
            <w:r/>
            <w:r>
              <w:rPr>
                <w:b w:val="0"/>
                <w:color w:val="1F2328"/>
                <w:sz w:val="18"/>
              </w:rPr>
              <w:t>MRMT-D004</w:t>
            </w:r>
          </w:p>
        </w:tc>
        <w:tc>
          <w:tcPr>
            <w:tcW w:type="dxa" w:w="2420"/>
          </w:tcPr>
          <w:p>
            <w:r/>
            <w:r>
              <w:rPr>
                <w:b w:val="0"/>
                <w:color w:val="1F2328"/>
                <w:sz w:val="18"/>
              </w:rPr>
              <w:t>Confirm the Arcfield Platform ISMS remains in the certified state and resource the surveillance after first visit audit due April 2026.</w:t>
            </w:r>
          </w:p>
        </w:tc>
        <w:tc>
          <w:tcPr>
            <w:tcW w:type="dxa" w:w="1611"/>
          </w:tcPr>
          <w:p>
            <w:r/>
            <w:r>
              <w:rPr>
                <w:b w:val="0"/>
                <w:color w:val="1F2328"/>
                <w:sz w:val="18"/>
              </w:rPr>
              <w:t>Top Management</w:t>
            </w:r>
          </w:p>
        </w:tc>
        <w:tc>
          <w:tcPr>
            <w:tcW w:type="dxa" w:w="1611"/>
          </w:tcPr>
          <w:p>
            <w:r/>
            <w:r>
              <w:rPr>
                <w:b w:val="0"/>
                <w:color w:val="1F2328"/>
                <w:sz w:val="18"/>
              </w:rPr>
              <w:t>2026-11-01</w:t>
            </w:r>
          </w:p>
        </w:tc>
        <w:tc>
          <w:tcPr>
            <w:tcW w:type="dxa" w:w="2960"/>
          </w:tcPr>
          <w:p>
            <w:r/>
            <w:r>
              <w:rPr>
                <w:b w:val="0"/>
                <w:color w:val="1F2328"/>
                <w:sz w:val="18"/>
              </w:rPr>
              <w:t>CA-ARCFIELD-EN-2025-04-10 / IAP</w:t>
            </w:r>
          </w:p>
        </w:tc>
      </w:tr>
    </w:tbl>
    <w:p>
      <w:pPr>
        <w:pStyle w:val="974"/>
        <w:outlineLvl w:val="1"/>
      </w:pPr>
      <w:bookmarkStart w:id="11" w:name="_TocRAM008"/>
      <w:r>
        <w:t>Action items</w:t>
      </w:r>
      <w:bookmarkEnd w:id="11"/>
    </w:p>
    <w:p>
      <w:r>
        <w:rPr>
          <w:b w:val="0"/>
        </w:rPr>
        <w:t>Assign every follow-up one owner, one due date and the record that will show it closed. Carry open actions into the next review.</w:t>
      </w:r>
    </w:p>
    <w:tbl>
      <w:tblPr>
        <w:tblStyle w:val="1033"/>
        <w:tblW w:type="dxa" w:w="10078"/>
        <w:jc w:val="left"/>
        <w:tblLayout w:type="fixed"/>
        <w:tblLook w:firstColumn="1" w:firstRow="1" w:lastColumn="0" w:lastRow="0" w:noHBand="0" w:noVBand="1" w:val="04A0"/>
      </w:tblPr>
      <w:tblGrid>
        <w:gridCol w:w="1028"/>
        <w:gridCol w:w="2523"/>
        <w:gridCol w:w="1373"/>
        <w:gridCol w:w="1373"/>
        <w:gridCol w:w="1258"/>
        <w:gridCol w:w="2523"/>
      </w:tblGrid>
      <w:tr>
        <w:trPr>
          <w:tblHeader/>
          <w:cantSplit/>
        </w:trPr>
        <w:tc>
          <w:tcPr>
            <w:tcW w:type="dxa" w:w="1028"/>
            <w:shd w:fill="F7F9FC"/>
          </w:tcPr>
          <w:p>
            <w:r/>
            <w:r>
              <w:rPr>
                <w:b/>
                <w:color w:val="1F6FEB"/>
                <w:sz w:val="18"/>
              </w:rPr>
              <w:t>Action ID</w:t>
            </w:r>
          </w:p>
        </w:tc>
        <w:tc>
          <w:tcPr>
            <w:tcW w:type="dxa" w:w="2523"/>
            <w:shd w:fill="F7F9FC"/>
          </w:tcPr>
          <w:p>
            <w:r/>
            <w:r>
              <w:rPr>
                <w:b/>
                <w:color w:val="1F6FEB"/>
                <w:sz w:val="18"/>
              </w:rPr>
              <w:t>Action</w:t>
            </w:r>
          </w:p>
        </w:tc>
        <w:tc>
          <w:tcPr>
            <w:tcW w:type="dxa" w:w="1373"/>
            <w:shd w:fill="F7F9FC"/>
          </w:tcPr>
          <w:p>
            <w:r/>
            <w:r>
              <w:rPr>
                <w:b/>
                <w:color w:val="1F6FEB"/>
                <w:sz w:val="18"/>
              </w:rPr>
              <w:t>Owner</w:t>
            </w:r>
          </w:p>
        </w:tc>
        <w:tc>
          <w:tcPr>
            <w:tcW w:type="dxa" w:w="1373"/>
            <w:shd w:fill="F7F9FC"/>
          </w:tcPr>
          <w:p>
            <w:r/>
            <w:r>
              <w:rPr>
                <w:b/>
                <w:color w:val="1F6FEB"/>
                <w:sz w:val="18"/>
              </w:rPr>
              <w:t>Due date</w:t>
            </w:r>
          </w:p>
        </w:tc>
        <w:tc>
          <w:tcPr>
            <w:tcW w:type="dxa" w:w="1258"/>
            <w:shd w:fill="F7F9FC"/>
          </w:tcPr>
          <w:p>
            <w:r/>
            <w:r>
              <w:rPr>
                <w:b/>
                <w:color w:val="1F6FEB"/>
                <w:sz w:val="18"/>
              </w:rPr>
              <w:t>Status</w:t>
            </w:r>
          </w:p>
        </w:tc>
        <w:tc>
          <w:tcPr>
            <w:tcW w:type="dxa" w:w="2523"/>
            <w:shd w:fill="F7F9FC"/>
          </w:tcPr>
          <w:p>
            <w:r/>
            <w:r>
              <w:rPr>
                <w:b/>
                <w:color w:val="1F6FEB"/>
                <w:sz w:val="18"/>
              </w:rPr>
              <w:t>Cited record</w:t>
            </w:r>
          </w:p>
        </w:tc>
      </w:tr>
      <w:tr>
        <w:trPr>
          <w:cantSplit/>
        </w:trPr>
        <w:tc>
          <w:tcPr>
            <w:tcW w:type="dxa" w:w="1028"/>
          </w:tcPr>
          <w:p>
            <w:r/>
            <w:r>
              <w:rPr>
                <w:b w:val="0"/>
                <w:color w:val="1F2328"/>
                <w:sz w:val="18"/>
              </w:rPr>
              <w:t>ACT-001</w:t>
            </w:r>
          </w:p>
        </w:tc>
        <w:tc>
          <w:tcPr>
            <w:tcW w:type="dxa" w:w="2523"/>
          </w:tcPr>
          <w:p>
            <w:r/>
            <w:r>
              <w:rPr>
                <w:b w:val="0"/>
                <w:color w:val="1F2328"/>
                <w:sz w:val="18"/>
              </w:rPr>
              <w:t>Close the cloud admin exception or submit residual-risk acceptance.</w:t>
            </w:r>
          </w:p>
        </w:tc>
        <w:tc>
          <w:tcPr>
            <w:tcW w:type="dxa" w:w="1373"/>
          </w:tcPr>
          <w:p>
            <w:r/>
            <w:r>
              <w:rPr>
                <w:b w:val="0"/>
                <w:color w:val="1F2328"/>
                <w:sz w:val="18"/>
              </w:rPr>
              <w:t>IT Operations Manager</w:t>
            </w:r>
          </w:p>
        </w:tc>
        <w:tc>
          <w:tcPr>
            <w:tcW w:type="dxa" w:w="1373"/>
          </w:tcPr>
          <w:p>
            <w:r/>
            <w:r>
              <w:rPr>
                <w:b w:val="0"/>
                <w:color w:val="1F2328"/>
                <w:sz w:val="18"/>
              </w:rPr>
              <w:t>2026-09-30</w:t>
            </w:r>
          </w:p>
        </w:tc>
        <w:tc>
          <w:tcPr>
            <w:tcW w:type="dxa" w:w="1258"/>
          </w:tcPr>
          <w:p>
            <w:r/>
            <w:r>
              <w:rPr>
                <w:b w:val="0"/>
                <w:color w:val="1F2328"/>
                <w:sz w:val="18"/>
              </w:rPr>
              <w:t>Open</w:t>
            </w:r>
          </w:p>
        </w:tc>
        <w:tc>
          <w:tcPr>
            <w:tcW w:type="dxa" w:w="2523"/>
          </w:tcPr>
          <w:p>
            <w:r/>
            <w:r>
              <w:rPr>
                <w:b w:val="0"/>
                <w:color w:val="1F2328"/>
                <w:sz w:val="18"/>
              </w:rPr>
              <w:t>EXR MFA legacy exception 2026-08</w:t>
            </w:r>
          </w:p>
        </w:tc>
      </w:tr>
      <w:tr>
        <w:trPr>
          <w:cantSplit/>
        </w:trPr>
        <w:tc>
          <w:tcPr>
            <w:tcW w:type="dxa" w:w="1028"/>
          </w:tcPr>
          <w:p>
            <w:r/>
            <w:r>
              <w:rPr>
                <w:b w:val="0"/>
                <w:color w:val="1F2328"/>
                <w:sz w:val="18"/>
              </w:rPr>
              <w:t>ACT-002</w:t>
            </w:r>
          </w:p>
        </w:tc>
        <w:tc>
          <w:tcPr>
            <w:tcW w:type="dxa" w:w="2523"/>
          </w:tcPr>
          <w:p>
            <w:r/>
            <w:r>
              <w:rPr>
                <w:b w:val="0"/>
                <w:color w:val="1F2328"/>
                <w:sz w:val="18"/>
              </w:rPr>
              <w:t>Add the backup supplier to scope traceability and risk review.</w:t>
            </w:r>
          </w:p>
        </w:tc>
        <w:tc>
          <w:tcPr>
            <w:tcW w:type="dxa" w:w="1373"/>
          </w:tcPr>
          <w:p>
            <w:r/>
            <w:r>
              <w:rPr>
                <w:b w:val="0"/>
                <w:color w:val="1F2328"/>
                <w:sz w:val="18"/>
              </w:rPr>
              <w:t>Supplier Manager</w:t>
            </w:r>
          </w:p>
        </w:tc>
        <w:tc>
          <w:tcPr>
            <w:tcW w:type="dxa" w:w="1373"/>
          </w:tcPr>
          <w:p>
            <w:r/>
            <w:r>
              <w:rPr>
                <w:b w:val="0"/>
                <w:color w:val="1F2328"/>
                <w:sz w:val="18"/>
              </w:rPr>
              <w:t>2026-09-20</w:t>
            </w:r>
          </w:p>
        </w:tc>
        <w:tc>
          <w:tcPr>
            <w:tcW w:type="dxa" w:w="1258"/>
          </w:tcPr>
          <w:p>
            <w:r/>
            <w:r>
              <w:rPr>
                <w:b w:val="0"/>
                <w:color w:val="1F2328"/>
                <w:sz w:val="18"/>
              </w:rPr>
              <w:t>Open</w:t>
            </w:r>
          </w:p>
        </w:tc>
        <w:tc>
          <w:tcPr>
            <w:tcW w:type="dxa" w:w="2523"/>
          </w:tcPr>
          <w:p>
            <w:r/>
            <w:r>
              <w:rPr>
                <w:b w:val="0"/>
                <w:color w:val="1F2328"/>
                <w:sz w:val="18"/>
              </w:rPr>
              <w:t>ISS traceability 2026-Q3</w:t>
            </w:r>
          </w:p>
        </w:tc>
      </w:tr>
      <w:tr>
        <w:trPr>
          <w:cantSplit/>
        </w:trPr>
        <w:tc>
          <w:tcPr>
            <w:tcW w:type="dxa" w:w="1028"/>
          </w:tcPr>
          <w:p>
            <w:r/>
            <w:r>
              <w:rPr>
                <w:b w:val="0"/>
                <w:color w:val="1F2328"/>
                <w:sz w:val="18"/>
              </w:rPr>
              <w:t>ACT-003</w:t>
            </w:r>
          </w:p>
        </w:tc>
        <w:tc>
          <w:tcPr>
            <w:tcW w:type="dxa" w:w="2523"/>
          </w:tcPr>
          <w:p>
            <w:r/>
            <w:r>
              <w:rPr>
                <w:b w:val="0"/>
                <w:color w:val="1F2328"/>
                <w:sz w:val="18"/>
              </w:rPr>
              <w:t>Issue internal audit report IA-ARCFIELD-EN-2026-09-11 as 9.2 input to first surveillance.</w:t>
            </w:r>
          </w:p>
        </w:tc>
        <w:tc>
          <w:tcPr>
            <w:tcW w:type="dxa" w:w="1373"/>
          </w:tcPr>
          <w:p>
            <w:r/>
            <w:r>
              <w:rPr>
                <w:b w:val="0"/>
                <w:color w:val="1F2328"/>
                <w:sz w:val="18"/>
              </w:rPr>
              <w:t>Internal Auditor</w:t>
            </w:r>
          </w:p>
        </w:tc>
        <w:tc>
          <w:tcPr>
            <w:tcW w:type="dxa" w:w="1373"/>
          </w:tcPr>
          <w:p>
            <w:r/>
            <w:r>
              <w:rPr>
                <w:b w:val="0"/>
                <w:color w:val="1F2328"/>
                <w:sz w:val="18"/>
              </w:rPr>
              <w:t>2026-09-25</w:t>
            </w:r>
          </w:p>
        </w:tc>
        <w:tc>
          <w:tcPr>
            <w:tcW w:type="dxa" w:w="1258"/>
          </w:tcPr>
          <w:p>
            <w:r/>
            <w:r>
              <w:rPr>
                <w:b w:val="0"/>
                <w:color w:val="1F2328"/>
                <w:sz w:val="18"/>
              </w:rPr>
              <w:t>Scheduled</w:t>
            </w:r>
          </w:p>
        </w:tc>
        <w:tc>
          <w:tcPr>
            <w:tcW w:type="dxa" w:w="2523"/>
          </w:tcPr>
          <w:p>
            <w:r/>
            <w:r>
              <w:rPr>
                <w:b w:val="0"/>
                <w:color w:val="1F2328"/>
                <w:sz w:val="18"/>
              </w:rPr>
              <w:t>IAP / IA-ARCFIELD-EN-2026-09-11</w:t>
            </w:r>
          </w:p>
        </w:tc>
      </w:tr>
    </w:tbl>
    <w:p>
      <w:pPr>
        <w:pStyle w:val="974"/>
        <w:outlineLvl w:val="1"/>
      </w:pPr>
      <w:bookmarkStart w:id="12" w:name="_TocRAM009"/>
      <w:r>
        <w:t>Resource and improvement decisions</w:t>
      </w:r>
      <w:bookmarkEnd w:id="12"/>
    </w:p>
    <w:p>
      <w:r>
        <w:rPr>
          <w:b w:val="0"/>
        </w:rPr>
        <w:t>Record resource and improvement decisions as named outcomes. A metric without an owner is not an output of this review.</w:t>
      </w:r>
    </w:p>
    <w:tbl>
      <w:tblPr>
        <w:tblStyle w:val="1033"/>
        <w:tblW w:type="dxa" w:w="10080"/>
        <w:jc w:val="left"/>
        <w:tblLayout w:type="fixed"/>
        <w:tblLook w:firstColumn="1" w:firstRow="1" w:lastColumn="0" w:lastRow="0" w:noHBand="0" w:noVBand="1" w:val="04A0"/>
      </w:tblPr>
      <w:tblGrid>
        <w:gridCol w:w="2755"/>
        <w:gridCol w:w="1720"/>
        <w:gridCol w:w="2256"/>
        <w:gridCol w:w="3349"/>
      </w:tblGrid>
      <w:tr>
        <w:trPr>
          <w:tblHeader/>
          <w:cantSplit/>
        </w:trPr>
        <w:tc>
          <w:tcPr>
            <w:tcW w:type="dxa" w:w="2755"/>
            <w:shd w:fill="F7F9FC"/>
          </w:tcPr>
          <w:p>
            <w:r/>
            <w:r>
              <w:rPr>
                <w:b/>
                <w:color w:val="1F6FEB"/>
                <w:sz w:val="18"/>
              </w:rPr>
              <w:t>Item</w:t>
            </w:r>
          </w:p>
        </w:tc>
        <w:tc>
          <w:tcPr>
            <w:tcW w:type="dxa" w:w="1720"/>
            <w:shd w:fill="F7F9FC"/>
          </w:tcPr>
          <w:p>
            <w:r/>
            <w:r>
              <w:rPr>
                <w:b/>
                <w:color w:val="1F6FEB"/>
                <w:sz w:val="18"/>
              </w:rPr>
              <w:t>Decision</w:t>
            </w:r>
          </w:p>
        </w:tc>
        <w:tc>
          <w:tcPr>
            <w:tcW w:type="dxa" w:w="2256"/>
            <w:shd w:fill="F7F9FC"/>
          </w:tcPr>
          <w:p>
            <w:r/>
            <w:r>
              <w:rPr>
                <w:b/>
                <w:color w:val="1F6FEB"/>
                <w:sz w:val="18"/>
              </w:rPr>
              <w:t>Owner</w:t>
            </w:r>
          </w:p>
        </w:tc>
        <w:tc>
          <w:tcPr>
            <w:tcW w:type="dxa" w:w="3349"/>
            <w:shd w:fill="F7F9FC"/>
          </w:tcPr>
          <w:p>
            <w:r/>
            <w:r>
              <w:rPr>
                <w:b/>
                <w:color w:val="1F6FEB"/>
                <w:sz w:val="18"/>
              </w:rPr>
              <w:t>Cited record</w:t>
            </w:r>
          </w:p>
        </w:tc>
      </w:tr>
      <w:tr>
        <w:trPr>
          <w:cantSplit/>
        </w:trPr>
        <w:tc>
          <w:tcPr>
            <w:tcW w:type="dxa" w:w="2755"/>
          </w:tcPr>
          <w:p>
            <w:r/>
            <w:r>
              <w:rPr>
                <w:b w:val="0"/>
                <w:color w:val="1F2328"/>
                <w:sz w:val="18"/>
              </w:rPr>
              <w:t>Evidence automation pilot</w:t>
            </w:r>
          </w:p>
        </w:tc>
        <w:tc>
          <w:tcPr>
            <w:tcW w:type="dxa" w:w="1720"/>
          </w:tcPr>
          <w:p>
            <w:r/>
            <w:r>
              <w:rPr>
                <w:b w:val="0"/>
                <w:color w:val="1F2328"/>
                <w:sz w:val="18"/>
              </w:rPr>
              <w:t>Deferred until pilot export quality is verified.</w:t>
            </w:r>
          </w:p>
        </w:tc>
        <w:tc>
          <w:tcPr>
            <w:tcW w:type="dxa" w:w="2256"/>
          </w:tcPr>
          <w:p>
            <w:r/>
            <w:r>
              <w:rPr>
                <w:b w:val="0"/>
                <w:color w:val="1F2328"/>
                <w:sz w:val="18"/>
              </w:rPr>
              <w:t>ISMS Manager</w:t>
            </w:r>
          </w:p>
        </w:tc>
        <w:tc>
          <w:tcPr>
            <w:tcW w:type="dxa" w:w="3349"/>
          </w:tcPr>
          <w:p>
            <w:r/>
            <w:r>
              <w:rPr>
                <w:b w:val="0"/>
                <w:color w:val="1F2328"/>
                <w:sz w:val="18"/>
              </w:rPr>
              <w:t>Evidence-automation pilot 2026</w:t>
            </w:r>
          </w:p>
        </w:tc>
      </w:tr>
      <w:tr>
        <w:trPr>
          <w:cantSplit/>
        </w:trPr>
        <w:tc>
          <w:tcPr>
            <w:tcW w:type="dxa" w:w="2755"/>
          </w:tcPr>
          <w:p>
            <w:r/>
            <w:r>
              <w:rPr>
                <w:b w:val="0"/>
                <w:color w:val="1F2328"/>
                <w:sz w:val="18"/>
              </w:rPr>
              <w:t>Access-review remediation</w:t>
            </w:r>
          </w:p>
        </w:tc>
        <w:tc>
          <w:tcPr>
            <w:tcW w:type="dxa" w:w="1720"/>
          </w:tcPr>
          <w:p>
            <w:r/>
            <w:r>
              <w:rPr>
                <w:b w:val="0"/>
                <w:color w:val="1F2328"/>
                <w:sz w:val="18"/>
              </w:rPr>
              <w:t>Approved as a priority corrective action.</w:t>
            </w:r>
          </w:p>
        </w:tc>
        <w:tc>
          <w:tcPr>
            <w:tcW w:type="dxa" w:w="2256"/>
          </w:tcPr>
          <w:p>
            <w:r/>
            <w:r>
              <w:rPr>
                <w:b w:val="0"/>
                <w:color w:val="1F2328"/>
                <w:sz w:val="18"/>
              </w:rPr>
              <w:t>IT Operations Manager</w:t>
            </w:r>
          </w:p>
        </w:tc>
        <w:tc>
          <w:tcPr>
            <w:tcW w:type="dxa" w:w="3349"/>
          </w:tcPr>
          <w:p>
            <w:r/>
            <w:r>
              <w:rPr>
                <w:b w:val="0"/>
                <w:color w:val="1F2328"/>
                <w:sz w:val="18"/>
              </w:rPr>
              <w:t>CAR from internal audit 2026-Q3</w:t>
            </w:r>
          </w:p>
        </w:tc>
      </w:tr>
    </w:tbl>
    <w:p>
      <w:pPr>
        <w:pStyle w:val="974"/>
        <w:outlineLvl w:val="1"/>
      </w:pPr>
      <w:bookmarkStart w:id="13" w:name="_TocRAM010"/>
      <w:r>
        <w:t>Next review tracking</w:t>
      </w:r>
      <w:bookmarkEnd w:id="13"/>
    </w:p>
    <w:p>
      <w:r>
        <w:rPr>
          <w:b w:val="0"/>
        </w:rPr>
        <w:t>The next formal management review is scheduled for 2026-12-15. An interim evidence-readiness checkpoint is required by 2026-09-30. Carry ACT-001, ACT-002 and the deferred automation pilot into that sitting.</w:t>
      </w:r>
    </w:p>
    <w:p>
      <w:pPr>
        <w:spacing w:before="40" w:after="0"/>
      </w:pPr>
      <w:r>
        <w:rPr>
          <w:color w:val="5B5B5B"/>
          <w:sz w:val="18"/>
        </w:rPr>
        <w:t>Next review date</w:t>
      </w:r>
    </w:p>
    <w:p>
      <w:pPr>
        <w:spacing w:before="0" w:after="200"/>
        <w:shd w:val="clear" w:fill="F4F6F8"/>
        <w:pBdr>
          <w:bottom w:val="single" w:sz="8" w:space="1" w:color="8A8A8A"/>
        </w:pBdr>
      </w:pPr>
      <w:r>
        <w:rPr>
          <w:b w:val="0"/>
          <w:color w:val="222222"/>
        </w:rPr>
        <w:t>2026-12-15</w:t>
      </w:r>
    </w:p>
    <w:p>
      <w:pPr>
        <w:spacing w:before="40" w:after="0"/>
      </w:pPr>
      <w:r>
        <w:rPr>
          <w:color w:val="5B5B5B"/>
          <w:sz w:val="18"/>
        </w:rPr>
        <w:t>Interim checkpoint</w:t>
      </w:r>
    </w:p>
    <w:p>
      <w:pPr>
        <w:spacing w:before="0" w:after="200"/>
        <w:shd w:val="clear" w:fill="F4F6F8"/>
        <w:pBdr>
          <w:bottom w:val="single" w:sz="8" w:space="1" w:color="8A8A8A"/>
        </w:pBdr>
      </w:pPr>
      <w:r>
        <w:rPr>
          <w:b w:val="0"/>
          <w:color w:val="222222"/>
        </w:rPr>
        <w:t>2026-09-30</w:t>
      </w:r>
    </w:p>
    <w:p>
      <w:pPr>
        <w:spacing w:before="40" w:after="0"/>
      </w:pPr>
      <w:r>
        <w:rPr>
          <w:color w:val="5B5B5B"/>
          <w:sz w:val="18"/>
        </w:rPr>
        <w:t>Carry-over</w:t>
      </w:r>
    </w:p>
    <w:p>
      <w:pPr>
        <w:spacing w:before="0" w:after="200"/>
        <w:shd w:val="clear" w:fill="F4F6F8"/>
        <w:pBdr>
          <w:bottom w:val="single" w:sz="8" w:space="1" w:color="8A8A8A"/>
        </w:pBdr>
      </w:pPr>
      <w:r>
        <w:rPr>
          <w:b w:val="0"/>
          <w:color w:val="222222"/>
        </w:rPr>
        <w:t>ACT-001, ACT-002, evidence automation pilot</w:t>
      </w:r>
    </w:p>
    <w:p>
      <w:pPr>
        <w:pStyle w:val="973"/>
        <w:outlineLvl w:val="0"/>
      </w:pPr>
      <w:bookmarkStart w:id="14" w:name="_TocRAM011"/>
      <w:bookmarkStart w:id="2" w:name="ref_evidence_and_records"/>
      <w:r>
        <w:t>Evidence and records</w:t>
      </w:r>
      <w:bookmarkEnd w:id="2"/>
      <w:bookmarkEnd w:id="14"/>
    </w:p>
    <w:p>
      <w:r>
        <w:rPr>
          <w:b w:val="0"/>
        </w:rPr>
        <w:t>Related records live in the approved parent document and the live register this record belongs to. This file cites them; it does not copy their content.</w:t>
      </w:r>
    </w:p>
    <w:p>
      <w:pPr>
        <w:pStyle w:val="973"/>
        <w:outlineLvl w:val="0"/>
      </w:pPr>
      <w:bookmarkStart w:id="15" w:name="_TocRAM012"/>
      <w:bookmarkStart w:id="3" w:name="ref_external_references"/>
      <w:r>
        <w:t>References</w:t>
      </w:r>
      <w:bookmarkEnd w:id="3"/>
      <w:bookmarkEnd w:id="15"/>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1"/>
        </w:numPr>
      </w:pPr>
      <w:hyperlink r:id="rId18"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7" w:history="1">
        <w:r>
          <w:rPr>
            <w:color w:val="0563C1"/>
            <w:u w:val="single"/>
          </w:rPr>
          <w:t xml:space="preserve">EXR Exceptions Register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IAP Internal Audit Plan (Implementation &amp; Certification, Internal Audit &amp; Management Review)</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IMPL-WB ISMS Implementation Workbook (Implementation &amp; Certification, Implementation Readiness &amp; Planning)</w:t>
        </w:r>
      </w:hyperlink>
      <w:r>
        <w:rPr>
          <w:b w:val="0"/>
        </w:rPr>
        <w:t xml:space="preserve"> — Interface record. Cite this Document Control version; do not copy this file into that record.</w:t>
      </w:r>
    </w:p>
    <w:p>
      <w:pPr>
        <w:pStyle w:val="1006"/>
        <w:ind w:left="360" w:hanging="259"/>
        <w:numPr>
          <w:ilvl w:val="0"/>
          <w:numId w:val="11"/>
        </w:numPr>
      </w:pPr>
      <w:hyperlink r:id="rId18" w:history="1">
        <w:r>
          <w:rPr>
            <w:color w:val="0563C1"/>
            <w:u w:val="single"/>
          </w:rPr>
          <w:t xml:space="preserve">SINV Supplier Inventory (Building the ISMS, Supplier Security &amp; Third-party Risk Management)</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Management Review Minutes (MRMT)</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s?k=ISO+27001+for+Software+Companies+Implementation+and+Certification" TargetMode="External"/><Relationship Id="rId18"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Review Minutes</dc:title>
  <dc:subject>Official ExportableProof Companion Artifact MRMT</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Minutes</cp:category>
</cp:coreProperties>
</file>