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5EDD77B7">
      <w:pPr>
        <w:pBdr/>
        <w:spacing/>
        <w:ind/>
        <w:rPr/>
      </w:pPr>
      <w:r>
        <mc:AlternateContent>
          <mc:Choice Requires="wpg">
            <w:drawing>
              <wp:inline xmlns:wp="http://schemas.openxmlformats.org/drawingml/2006/wordprocessingDrawing" distT="0" distB="0" distL="0" distR="0">
                <wp:extent cx="6400800" cy="1600200"/>
                <wp:effectExtent l="0" t="0" r="0" b="0"/>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484213" name=""/>
                        <pic:cNvPicPr>
                          <a:picLocks noChangeAspect="1"/>
                        </pic:cNvPicPr>
                        <pic:nvPr/>
                      </pic:nvPicPr>
                      <pic:blipFill rotWithShape="1">
                        <a:blip r:embed="rId13"/>
                        <a:stretch/>
                      </pic:blipFill>
                      <pic:spPr bwMode="auto">
                        <a:xfrm>
                          <a:off x="0" y="0"/>
                          <a:ext cx="6400798" cy="16001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504.00pt;height:126.00pt;mso-wrap-distance-left:0.00pt;mso-wrap-distance-top:0.00pt;mso-wrap-distance-right:0.00pt;mso-wrap-distance-bottom:0.00pt;z-index:1;" stroked="false">
                <v:imagedata r:id="rId13" o:title=""/>
                <o:lock v:ext="edit" rotation="t"/>
              </v:shape>
            </w:pict>
          </mc:Fallback>
        </mc:AlternateContent>
      </w:r>
      <w:r/>
    </w:p>
    <w:p w14:paraId="197DA4AB">
      <w:pPr>
        <w:pBdr/>
        <w:spacing/>
        <w:ind/>
        <w:rPr/>
      </w:pPr>
      <w:r/>
      <w:r/>
    </w:p>
    <w:p w14:paraId="0D74E395">
      <w:pPr>
        <w:pBdr/>
        <w:spacing/>
        <w:ind/>
        <w:rPr/>
      </w:pPr>
      <w:r/>
      <w:r/>
    </w:p>
    <w:p>
      <w:pPr>
        <w:pBdr/>
        <w:spacing/>
        <w:ind/>
        <w:rPr/>
      </w:pPr>
      <w:r/>
      <w:r/>
    </w:p>
    <w:p>
      <w:pPr>
        <w:pBdr/>
        <w:spacing/>
        <w:ind/>
        <w:jc w:val="left"/>
        <w:rPr>
          <w:b/>
          <w:bCs/>
          <w:color w:val="1f4e79"/>
          <w:sz w:val="60"/>
          <w:szCs w:val="60"/>
          <w:highlight w:val="none"/>
        </w:rPr>
      </w:pPr>
      <w:r>
        <w:rPr>
          <w:b/>
          <w:color w:val="1f4e79"/>
          <w:sz w:val="60"/>
        </w:rPr>
        <w:t xml:space="preserve">Management Review Agenda &amp; Report</w:t>
      </w:r>
      <w:r>
        <w:rPr>
          <w:b/>
          <w:bCs/>
          <w:color w:val="1f4e79"/>
          <w:sz w:val="60"/>
          <w:szCs w:val="60"/>
          <w:highlight w:val="none"/>
        </w:rPr>
      </w:r>
      <w:r>
        <w:rPr>
          <w:b/>
          <w:bCs/>
          <w:color w:val="1f4e79"/>
          <w:sz w:val="60"/>
          <w:szCs w:val="60"/>
          <w:highlight w:val="none"/>
        </w:rPr>
      </w:r>
    </w:p>
    <w:p w14:paraId="1715952B">
      <w:pPr>
        <w:pBdr/>
        <w:spacing/>
        <w:ind/>
        <w:jc w:val="left"/>
        <w:rPr/>
      </w:pPr>
      <w:r>
        <w:t xml:space="preserve">Official Companion Artifact</w:t>
      </w:r>
      <w:r/>
    </w:p>
    <w:p w14:paraId="5A4A9E3A">
      <w:pPr>
        <w:pBdr/>
        <w:spacing/>
        <w:ind/>
        <w:jc w:val="left"/>
        <w:rPr/>
      </w:pPr>
      <w:r/>
      <w:r/>
    </w:p>
    <w:p>
      <w:pPr>
        <w:pBdr/>
        <w:spacing/>
        <w:ind/>
        <w:rPr>
          <w:highlight w:val="none"/>
        </w:rPr>
      </w:pPr>
      <w:r>
        <w:t xml:space="preserve">This example defines the agenda and report structure for Arcfield ISMS (Information Security Management System) management review. It ensures required ISO (International Organization for Standardization) 27001 inputs, decision questions, resource decisions, risk acceptance, opportunities and follow-up actions are prepared before the meeting. This plan is the live Arcfield Platform programme in the surveillance cycle after certificate ARC-ISMS-2025-001.</w:t>
      </w:r>
      <w:r>
        <w:rPr>
          <w:highlight w:val="none"/>
        </w:rPr>
      </w:r>
      <w:r>
        <w:rPr>
          <w:highlight w:val="none"/>
        </w:rPr>
      </w:r>
    </w:p>
    <w:tbl>
      <w:tblPr>
        <w:tblStyle w:val="1033"/>
        <w:tblW w:type="dxa" w:w="10080"/>
        <w:jc w:val="left"/>
        <w:tblLayout w:type="fixed"/>
        <w:tblLook w:firstColumn="1" w:firstRow="1" w:lastColumn="0" w:lastRow="0" w:noHBand="0" w:noVBand="1" w:val="04A0"/>
      </w:tblPr>
      <w:tblGrid>
        <w:gridCol w:w="2296"/>
        <w:gridCol w:w="7784"/>
      </w:tblGrid>
      <w:tr>
        <w:trPr>
          <w:tblHeader/>
          <w:cantSplit/>
        </w:trPr>
        <w:tc>
          <w:tcPr>
            <w:tcW w:type="dxa" w:w="2296"/>
            <w:shd w:fill="F7F9FC"/>
          </w:tcPr>
          <w:p>
            <w:r/>
            <w:r>
              <w:rPr>
                <w:b/>
                <w:color w:val="1F6FEB"/>
                <w:sz w:val="18"/>
              </w:rPr>
              <w:t>Field</w:t>
            </w:r>
          </w:p>
        </w:tc>
        <w:tc>
          <w:tcPr>
            <w:tcW w:type="dxa" w:w="7784"/>
            <w:shd w:fill="F7F9FC"/>
          </w:tcPr>
          <w:p>
            <w:r/>
            <w:r>
              <w:rPr>
                <w:b/>
                <w:color w:val="1F6FEB"/>
                <w:sz w:val="18"/>
              </w:rPr>
              <w:t>Value</w:t>
            </w:r>
          </w:p>
        </w:tc>
      </w:tr>
      <w:tr>
        <w:trPr>
          <w:cantSplit/>
        </w:trPr>
        <w:tc>
          <w:tcPr>
            <w:tcW w:type="dxa" w:w="2296"/>
          </w:tcPr>
          <w:p>
            <w:r/>
            <w:r>
              <w:rPr>
                <w:b w:val="0"/>
                <w:color w:val="1F2328"/>
                <w:sz w:val="18"/>
              </w:rPr>
              <w:t>Organization</w:t>
            </w:r>
          </w:p>
        </w:tc>
        <w:tc>
          <w:tcPr>
            <w:tcW w:type="dxa" w:w="7784"/>
          </w:tcPr>
          <w:p>
            <w:r/>
            <w:r>
              <w:rPr>
                <w:b w:val="0"/>
                <w:color w:val="1F2328"/>
                <w:sz w:val="18"/>
              </w:rPr>
              <w:t>Arcfield</w:t>
            </w:r>
          </w:p>
        </w:tc>
      </w:tr>
      <w:tr>
        <w:trPr>
          <w:cantSplit/>
        </w:trPr>
        <w:tc>
          <w:tcPr>
            <w:tcW w:type="dxa" w:w="2296"/>
          </w:tcPr>
          <w:p>
            <w:r/>
            <w:r>
              <w:rPr>
                <w:b w:val="0"/>
                <w:color w:val="1F2328"/>
                <w:sz w:val="18"/>
              </w:rPr>
              <w:t>Version</w:t>
            </w:r>
          </w:p>
        </w:tc>
        <w:tc>
          <w:tcPr>
            <w:tcW w:type="dxa" w:w="7784"/>
          </w:tcPr>
          <w:p>
            <w:r/>
            <w:r>
              <w:rPr>
                <w:b w:val="0"/>
                <w:color w:val="1F2328"/>
                <w:sz w:val="18"/>
              </w:rPr>
              <w:t>1.1</w:t>
            </w:r>
          </w:p>
        </w:tc>
      </w:tr>
      <w:tr>
        <w:trPr>
          <w:cantSplit/>
        </w:trPr>
        <w:tc>
          <w:tcPr>
            <w:tcW w:type="dxa" w:w="2296"/>
          </w:tcPr>
          <w:p>
            <w:r/>
            <w:r>
              <w:rPr>
                <w:b w:val="0"/>
                <w:color w:val="1F2328"/>
                <w:sz w:val="18"/>
              </w:rPr>
              <w:t>Classification</w:t>
            </w:r>
          </w:p>
        </w:tc>
        <w:tc>
          <w:tcPr>
            <w:tcW w:type="dxa" w:w="7784"/>
          </w:tcPr>
          <w:p>
            <w:r/>
            <w:r>
              <w:rPr>
                <w:b w:val="0"/>
                <w:color w:val="1F2328"/>
                <w:sz w:val="18"/>
              </w:rPr>
              <w:t>Internal</w:t>
            </w:r>
          </w:p>
        </w:tc>
      </w:tr>
    </w:tbl>
    <w:p>
      <w:r>
        <w:br w:type="page"/>
      </w:r>
    </w:p>
    <w:p>
      <w:pPr>
        <w:keepNext w:val="true"/>
        <w:keepLines w:val="true"/>
        <w:pBdr/>
        <w:spacing w:after="0" w:before="480"/>
        <w:ind/>
        <w:outlineLvl w:val="9"/>
      </w:pPr>
      <w:r>
        <w:rPr>
          <w:rFonts w:asciiTheme="majorHAnsi" w:hAnsiTheme="majorHAnsi" w:eastAsiaTheme="majorEastAsia" w:cstheme="majorBidi"/>
          <w:b/>
          <w:bCs/>
          <w:color w:val="365f91" w:themeColor="accent1" w:themeShade="BF"/>
          <w:sz w:val="28"/>
          <w:szCs w:val="28"/>
        </w:rPr>
        <w:t>Document Control</w:t>
      </w:r>
    </w:p>
    <w:tbl>
      <w:tblPr>
        <w:tblStyle w:val="1033"/>
        <w:tblW w:w="10080" w:type="dxa"/>
        <w:jc w:val="left"/>
        <w:tblBorders/>
        <w:tblLayout w:type="fixed"/>
        <w:tblLook w:val="04A0" w:firstRow="1" w:lastRow="0" w:firstColumn="1" w:lastColumn="0" w:noHBand="0" w:noVBand="1"/>
      </w:tblPr>
      <w:tblGrid>
        <w:gridCol w:w="2296"/>
        <w:gridCol w:w="7784"/>
      </w:tblGrid>
      <w:tr>
        <w:trPr/>
        <w:tc>
          <w:tcPr>
            <w:tcBorders/>
            <w:tcW w:w="2296" w:type="dxa"/>
            <w:shd w:fill="F7F9FC"/>
          </w:tcPr>
          <w:p>
            <w:pPr>
              <w:pBdr/>
              <w:spacing/>
              <w:ind/>
              <w:rPr/>
            </w:pPr>
            <w:r/>
            <w:r>
              <w:rPr>
                <w:b/>
                <w:color w:val="1F6FEB"/>
                <w:sz w:val="18"/>
              </w:rPr>
              <w:t>Field</w:t>
            </w:r>
          </w:p>
        </w:tc>
        <w:tc>
          <w:tcPr>
            <w:tcBorders/>
            <w:tcW w:w="7784" w:type="dxa"/>
            <w:shd w:fill="F7F9FC"/>
          </w:tcPr>
          <w:p>
            <w:pPr>
              <w:pBdr/>
              <w:spacing/>
              <w:ind/>
              <w:rPr/>
            </w:pPr>
            <w:r/>
            <w:r>
              <w:rPr>
                <w:b/>
                <w:color w:val="1F6FEB"/>
                <w:sz w:val="18"/>
              </w:rPr>
              <w:t>Value</w:t>
            </w:r>
          </w:p>
        </w:tc>
      </w:tr>
      <w:tr>
        <w:trPr/>
        <w:tc>
          <w:tcPr>
            <w:tcBorders/>
            <w:tcW w:w="2296" w:type="dxa"/>
          </w:tcPr>
          <w:p>
            <w:pPr>
              <w:pBdr/>
              <w:spacing/>
              <w:ind/>
              <w:rPr/>
            </w:pPr>
            <w:r/>
            <w:r>
              <w:rPr>
                <w:b w:val="0"/>
                <w:color w:val="1F2328"/>
                <w:sz w:val="18"/>
              </w:rPr>
              <w:t>Organization</w:t>
            </w:r>
          </w:p>
        </w:tc>
        <w:tc>
          <w:tcPr>
            <w:tcBorders/>
            <w:tcW w:w="7784" w:type="dxa"/>
          </w:tcPr>
          <w:p>
            <w:pPr>
              <w:pBdr/>
              <w:spacing/>
              <w:ind/>
              <w:rPr/>
            </w:pPr>
            <w:r/>
            <w:r>
              <w:rPr>
                <w:b w:val="0"/>
                <w:color w:val="1F2328"/>
                <w:sz w:val="18"/>
              </w:rPr>
              <w:t>Arcfield</w:t>
            </w:r>
          </w:p>
        </w:tc>
      </w:tr>
      <w:tr>
        <w:trPr/>
        <w:tc>
          <w:tcPr>
            <w:tcBorders/>
            <w:tcW w:w="2296" w:type="dxa"/>
          </w:tcPr>
          <w:p>
            <w:pPr>
              <w:pBdr/>
              <w:spacing/>
              <w:ind/>
              <w:rPr/>
            </w:pPr>
            <w:r/>
            <w:r>
              <w:rPr>
                <w:b w:val="0"/>
                <w:color w:val="1F2328"/>
                <w:sz w:val="18"/>
              </w:rPr>
              <w:t>Version</w:t>
            </w:r>
          </w:p>
        </w:tc>
        <w:tc>
          <w:tcPr>
            <w:tcBorders/>
            <w:tcW w:w="7784" w:type="dxa"/>
          </w:tcPr>
          <w:p>
            <w:pPr>
              <w:pBdr/>
              <w:spacing/>
              <w:ind/>
              <w:rPr/>
            </w:pPr>
            <w:r/>
            <w:r>
              <w:rPr>
                <w:b w:val="0"/>
                <w:color w:val="1F2328"/>
                <w:sz w:val="18"/>
              </w:rPr>
              <w:t>1.1</w:t>
            </w:r>
          </w:p>
        </w:tc>
      </w:tr>
      <w:tr>
        <w:trPr/>
        <w:tc>
          <w:tcPr>
            <w:tcBorders/>
            <w:tcW w:w="2296" w:type="dxa"/>
          </w:tcPr>
          <w:p>
            <w:pPr>
              <w:pBdr/>
              <w:spacing/>
              <w:ind/>
              <w:rPr/>
            </w:pPr>
            <w:r/>
            <w:r>
              <w:rPr>
                <w:b w:val="0"/>
                <w:color w:val="1F2328"/>
                <w:sz w:val="18"/>
              </w:rPr>
              <w:t>Status</w:t>
            </w:r>
          </w:p>
        </w:tc>
        <w:tc>
          <w:tcPr>
            <w:tcBorders/>
            <w:tcW w:w="7784" w:type="dxa"/>
          </w:tcPr>
          <w:p>
            <w:pPr>
              <w:pBdr/>
              <w:spacing/>
              <w:ind/>
              <w:rPr/>
            </w:pPr>
            <w:r/>
            <w:r>
              <w:rPr>
                <w:b w:val="0"/>
                <w:color w:val="1F2328"/>
                <w:sz w:val="18"/>
              </w:rPr>
              <w:t>Approved</w:t>
            </w:r>
          </w:p>
        </w:tc>
      </w:tr>
      <w:tr>
        <w:trPr/>
        <w:tc>
          <w:tcPr>
            <w:tcBorders/>
            <w:tcW w:w="2296" w:type="dxa"/>
          </w:tcPr>
          <w:p>
            <w:pPr>
              <w:pBdr/>
              <w:spacing/>
              <w:ind/>
              <w:rPr/>
            </w:pPr>
            <w:r/>
            <w:r>
              <w:rPr>
                <w:b w:val="0"/>
                <w:color w:val="1F2328"/>
                <w:sz w:val="18"/>
              </w:rPr>
              <w:t>Owner</w:t>
            </w:r>
          </w:p>
        </w:tc>
        <w:tc>
          <w:tcPr>
            <w:tcBorders/>
            <w:tcW w:w="7784" w:type="dxa"/>
          </w:tcPr>
          <w:p>
            <w:pPr>
              <w:pBdr/>
              <w:spacing/>
              <w:ind/>
              <w:rPr/>
            </w:pPr>
            <w:r/>
            <w:r>
              <w:rPr>
                <w:b w:val="0"/>
                <w:color w:val="1F2328"/>
                <w:sz w:val="18"/>
              </w:rPr>
              <w:t>ISMS Manager</w:t>
            </w:r>
          </w:p>
        </w:tc>
      </w:tr>
      <w:tr>
        <w:trPr/>
        <w:tc>
          <w:tcPr>
            <w:tcBorders/>
            <w:tcW w:w="2296" w:type="dxa"/>
          </w:tcPr>
          <w:p>
            <w:pPr>
              <w:pBdr/>
              <w:spacing/>
              <w:ind/>
              <w:rPr/>
            </w:pPr>
            <w:r/>
            <w:r>
              <w:rPr>
                <w:b w:val="0"/>
                <w:color w:val="1F2328"/>
                <w:sz w:val="18"/>
              </w:rPr>
              <w:t>Approver</w:t>
            </w:r>
          </w:p>
        </w:tc>
        <w:tc>
          <w:tcPr>
            <w:tcBorders/>
            <w:tcW w:w="7784" w:type="dxa"/>
          </w:tcPr>
          <w:p>
            <w:pPr>
              <w:pBdr/>
              <w:spacing/>
              <w:ind/>
              <w:rPr/>
            </w:pPr>
            <w:r/>
            <w:r>
              <w:rPr>
                <w:b w:val="0"/>
                <w:color w:val="1F2328"/>
                <w:sz w:val="18"/>
              </w:rPr>
              <w:t>Top Management</w:t>
            </w:r>
          </w:p>
        </w:tc>
      </w:tr>
      <w:tr>
        <w:trPr/>
        <w:tc>
          <w:tcPr>
            <w:tcBorders/>
            <w:tcW w:w="2296" w:type="dxa"/>
            <w:vMerge w:val="restart"/>
          </w:tcPr>
          <w:p w14:paraId="31D2F00F">
            <w:pPr>
              <w:pBdr/>
              <w:spacing/>
              <w:ind/>
              <w:rPr>
                <w:b/>
              </w:rPr>
            </w:pPr>
            <w:r/>
            <w:r>
              <w:rPr>
                <w:b w:val="0"/>
                <w:color w:val="1F2328"/>
                <w:sz w:val="18"/>
              </w:rPr>
              <w:t>Classification</w:t>
            </w:r>
          </w:p>
        </w:tc>
        <w:tc>
          <w:tcPr>
            <w:tcBorders/>
            <w:tcW w:w="7784" w:type="dxa"/>
            <w:vMerge w:val="restart"/>
          </w:tcPr>
          <w:p w14:paraId="746BB0DF">
            <w:pPr>
              <w:pBdr/>
              <w:spacing/>
              <w:ind/>
              <w:rPr/>
            </w:pPr>
            <w:r/>
            <w:r>
              <w:rPr>
                <w:b w:val="0"/>
                <w:color w:val="1F2328"/>
                <w:sz w:val="18"/>
              </w:rPr>
              <w:t>Internal</w:t>
            </w:r>
          </w:p>
        </w:tc>
      </w:tr>
      <w:tr>
        <w:trPr/>
        <w:tc>
          <w:tcPr>
            <w:tcBorders/>
            <w:tcW w:w="2296" w:type="dxa"/>
            <w:vMerge w:val="restart"/>
          </w:tcPr>
          <w:p w14:paraId="7A2C2A7F">
            <w:pPr>
              <w:pBdr/>
              <w:spacing/>
              <w:ind/>
              <w:rPr>
                <w:b/>
              </w:rPr>
            </w:pPr>
            <w:r/>
            <w:r>
              <w:rPr>
                <w:b w:val="0"/>
                <w:color w:val="1F2328"/>
                <w:sz w:val="18"/>
              </w:rPr>
              <w:t>Effective Date</w:t>
            </w:r>
          </w:p>
        </w:tc>
        <w:tc>
          <w:tcPr>
            <w:tcBorders/>
            <w:tcW w:w="7784" w:type="dxa"/>
            <w:vMerge w:val="restart"/>
          </w:tcPr>
          <w:p w14:paraId="7DB152E7">
            <w:pPr>
              <w:pBdr/>
              <w:spacing/>
              <w:ind/>
              <w:rPr/>
            </w:pPr>
            <w:r/>
            <w:r>
              <w:rPr>
                <w:b w:val="0"/>
                <w:color w:val="1F2328"/>
                <w:sz w:val="18"/>
              </w:rPr>
              <w:t>2026-09-11</w:t>
            </w:r>
          </w:p>
        </w:tc>
      </w:tr>
      <w:tr>
        <w:trPr/>
        <w:tc>
          <w:tcPr>
            <w:tcBorders/>
            <w:tcW w:w="2296" w:type="dxa"/>
            <w:vMerge w:val="restart"/>
          </w:tcPr>
          <w:p w14:paraId="25D44444">
            <w:pPr>
              <w:pBdr/>
              <w:spacing/>
              <w:ind/>
              <w:rPr>
                <w:b/>
              </w:rPr>
            </w:pPr>
            <w:r/>
            <w:r>
              <w:rPr>
                <w:b w:val="0"/>
                <w:color w:val="1F2328"/>
                <w:sz w:val="18"/>
              </w:rPr>
              <w:t>Next Review Date</w:t>
            </w:r>
          </w:p>
        </w:tc>
        <w:tc>
          <w:tcPr>
            <w:tcBorders/>
            <w:tcW w:w="7784" w:type="dxa"/>
            <w:vMerge w:val="restart"/>
          </w:tcPr>
          <w:p w14:paraId="79776442">
            <w:pPr>
              <w:pBdr/>
              <w:spacing/>
              <w:ind/>
              <w:rPr/>
            </w:pPr>
            <w:r/>
            <w:r>
              <w:rPr>
                <w:b w:val="0"/>
                <w:color w:val="1F2328"/>
                <w:sz w:val="18"/>
              </w:rPr>
              <w:t>2027-09-11</w:t>
            </w:r>
          </w:p>
        </w:tc>
      </w:tr>
    </w:tbl>
    <w:p>
      <w:r>
        <w:br w:type="page"/>
      </w:r>
    </w:p>
    <w:p>
      <w:pPr>
        <w:keepNext w:val="true"/>
        <w:keepLines w:val="true"/>
        <w:pBdr/>
        <w:spacing w:after="0" w:before="480"/>
        <w:ind/>
        <w:outlineLvl w:val="9"/>
      </w:pPr>
      <w:r>
        <w:rPr>
          <w:rFonts w:asciiTheme="majorHAnsi" w:hAnsiTheme="majorHAnsi" w:eastAsiaTheme="majorEastAsia" w:cstheme="majorBidi"/>
          <w:b/>
          <w:bCs/>
          <w:color w:val="365f91" w:themeColor="accent1" w:themeShade="BF"/>
          <w:sz w:val="28"/>
          <w:szCs w:val="28"/>
        </w:rPr>
        <w:t>Revision history</w:t>
      </w:r>
    </w:p>
    <w:p>
      <w:r>
        <w:rPr>
          <w:b w:val="0"/>
        </w:rPr>
        <w:t>A published change is a new row. Do not edit an approved version in place.</w:t>
      </w:r>
    </w:p>
    <w:tbl>
      <w:tblPr>
        <w:tblStyle w:val="1033"/>
        <w:tblW w:type="dxa" w:w="10080"/>
        <w:jc w:val="left"/>
        <w:tblLayout w:type="fixed"/>
        <w:tblLook w:firstColumn="1" w:firstRow="1" w:lastColumn="0" w:lastRow="0" w:noHBand="0" w:noVBand="1" w:val="04A0"/>
      </w:tblPr>
      <w:tblGrid>
        <w:gridCol w:w="1288"/>
        <w:gridCol w:w="1720"/>
        <w:gridCol w:w="5352"/>
        <w:gridCol w:w="1720"/>
      </w:tblGrid>
      <w:tr>
        <w:trPr>
          <w:tblHeader/>
          <w:cantSplit/>
        </w:trPr>
        <w:tc>
          <w:tcPr>
            <w:tcW w:type="dxa" w:w="1288"/>
            <w:shd w:fill="F7F9FC"/>
          </w:tcPr>
          <w:p>
            <w:r/>
            <w:r>
              <w:rPr>
                <w:b/>
                <w:color w:val="1F6FEB"/>
                <w:sz w:val="18"/>
              </w:rPr>
              <w:t>Version</w:t>
            </w:r>
          </w:p>
        </w:tc>
        <w:tc>
          <w:tcPr>
            <w:tcW w:type="dxa" w:w="1720"/>
            <w:shd w:fill="F7F9FC"/>
          </w:tcPr>
          <w:p>
            <w:r/>
            <w:r>
              <w:rPr>
                <w:b/>
                <w:color w:val="1F6FEB"/>
                <w:sz w:val="18"/>
              </w:rPr>
              <w:t>Date</w:t>
            </w:r>
          </w:p>
        </w:tc>
        <w:tc>
          <w:tcPr>
            <w:tcW w:type="dxa" w:w="5352"/>
            <w:shd w:fill="F7F9FC"/>
          </w:tcPr>
          <w:p>
            <w:r/>
            <w:r>
              <w:rPr>
                <w:b/>
                <w:color w:val="1F6FEB"/>
                <w:sz w:val="18"/>
              </w:rPr>
              <w:t>Change</w:t>
            </w:r>
          </w:p>
        </w:tc>
        <w:tc>
          <w:tcPr>
            <w:tcW w:type="dxa" w:w="1720"/>
            <w:shd w:fill="F7F9FC"/>
          </w:tcPr>
          <w:p>
            <w:r/>
            <w:r>
              <w:rPr>
                <w:b/>
                <w:color w:val="1F6FEB"/>
                <w:sz w:val="18"/>
              </w:rPr>
              <w:t>Approved by</w:t>
            </w:r>
          </w:p>
        </w:tc>
      </w:tr>
      <w:tr>
        <w:trPr>
          <w:cantSplit/>
        </w:trPr>
        <w:tc>
          <w:tcPr>
            <w:tcW w:type="dxa" w:w="1288"/>
          </w:tcPr>
          <w:p>
            <w:r/>
            <w:r>
              <w:rPr>
                <w:b w:val="0"/>
                <w:color w:val="1F2328"/>
                <w:sz w:val="18"/>
              </w:rPr>
              <w:t>1.0</w:t>
            </w:r>
          </w:p>
        </w:tc>
        <w:tc>
          <w:tcPr>
            <w:tcW w:type="dxa" w:w="1720"/>
          </w:tcPr>
          <w:p>
            <w:r/>
            <w:r>
              <w:rPr>
                <w:b w:val="0"/>
                <w:color w:val="1F2328"/>
                <w:sz w:val="18"/>
              </w:rPr>
              <w:t>2026-08-29</w:t>
            </w:r>
          </w:p>
        </w:tc>
        <w:tc>
          <w:tcPr>
            <w:tcW w:type="dxa" w:w="5352"/>
          </w:tcPr>
          <w:p>
            <w:r/>
            <w:r>
              <w:rPr>
                <w:b w:val="0"/>
                <w:color w:val="1F2328"/>
                <w:sz w:val="18"/>
              </w:rPr>
              <w:t>Initial Arcfield Platform publication.</w:t>
            </w:r>
          </w:p>
        </w:tc>
        <w:tc>
          <w:tcPr>
            <w:tcW w:type="dxa" w:w="1720"/>
          </w:tcPr>
          <w:p>
            <w:r/>
            <w:r>
              <w:rPr>
                <w:b w:val="0"/>
                <w:color w:val="1F2328"/>
                <w:sz w:val="18"/>
              </w:rPr>
              <w:t>Top Management</w:t>
            </w:r>
          </w:p>
        </w:tc>
      </w:tr>
      <w:tr>
        <w:trPr>
          <w:cantSplit/>
        </w:trPr>
        <w:tc>
          <w:tcPr>
            <w:tcW w:type="dxa" w:w="1288"/>
          </w:tcPr>
          <w:p>
            <w:r/>
            <w:r>
              <w:rPr>
                <w:b w:val="0"/>
                <w:color w:val="1F2328"/>
                <w:sz w:val="18"/>
              </w:rPr>
              <w:t>1.1</w:t>
            </w:r>
          </w:p>
        </w:tc>
        <w:tc>
          <w:tcPr>
            <w:tcW w:type="dxa" w:w="1720"/>
          </w:tcPr>
          <w:p>
            <w:r/>
            <w:r>
              <w:rPr>
                <w:b w:val="0"/>
                <w:color w:val="1F2328"/>
                <w:sz w:val="18"/>
              </w:rPr>
              <w:t>2026-09-11</w:t>
            </w:r>
          </w:p>
        </w:tc>
        <w:tc>
          <w:tcPr>
            <w:tcW w:type="dxa" w:w="5352"/>
          </w:tcPr>
          <w:p>
            <w:r/>
            <w:r>
              <w:rPr>
                <w:b w:val="0"/>
                <w:color w:val="1F2328"/>
                <w:sz w:val="18"/>
              </w:rPr>
              <w:t>Approved Arcfield worked example after the 11 September 2026 internal audit.</w:t>
            </w:r>
          </w:p>
        </w:tc>
        <w:tc>
          <w:tcPr>
            <w:tcW w:type="dxa" w:w="1720"/>
          </w:tcPr>
          <w:p>
            <w:r/>
            <w:r>
              <w:rPr>
                <w:b w:val="0"/>
                <w:color w:val="1F2328"/>
                <w:sz w:val="18"/>
              </w:rPr>
              <w:t>Top Management</w:t>
            </w:r>
          </w:p>
        </w:tc>
      </w:tr>
    </w:tbl>
    <w:p>
      <w:pPr>
        <w:spacing w:before="0" w:after="120"/>
      </w:pPr>
    </w:p>
    <w:p w14:paraId="0A20EDB8">
      <w:pPr>
        <w:pBdr/>
        <w:spacing/>
        <w:ind/>
        <w:rPr/>
      </w:pPr>
      <w:r>
        <w:rPr>
          <w:highlight w:val="none"/>
        </w:rPr>
      </w:r>
      <w:r>
        <w:rPr>
          <w:highlight w:val="none"/>
        </w:rPr>
      </w:r>
      <w:r/>
    </w:p>
    <w:p w14:paraId="7F176C86">
      <w:pPr>
        <w:pBdr/>
        <w:spacing/>
        <w:ind/>
        <w:rPr>
          <w:highlight w:val="none"/>
        </w:rPr>
      </w:pPr>
      <w:r>
        <w:rPr>
          <w:highlight w:val="none"/>
        </w:rPr>
      </w:r>
      <w:r>
        <w:rPr>
          <w:highlight w:val="none"/>
        </w:rPr>
      </w:r>
      <w:r>
        <w:rPr>
          <w:highlight w:val="none"/>
        </w:rPr>
      </w:r>
    </w:p>
    <w:p w14:paraId="39C4E518">
      <w:pPr>
        <w:pBdr/>
        <w:spacing/>
        <w:ind/>
        <w:rPr>
          <w:highlight w:val="none"/>
        </w:rPr>
      </w:pPr>
      <w:r>
        <w:rPr>
          <w:highlight w:val="none"/>
        </w:rPr>
      </w:r>
      <w:r>
        <w:rPr>
          <w:highlight w:val="none"/>
        </w:rPr>
      </w:r>
      <w:r>
        <w:rPr>
          <w:highlight w:val="none"/>
        </w:rPr>
      </w:r>
    </w:p>
    <w:p>
      <w:pPr>
        <w:pBdr/>
        <w:spacing/>
        <w:ind/>
        <w:rPr>
          <w:highlight w:val="none"/>
        </w:rPr>
      </w:pPr>
      <w:r>
        <w:br w:type="page" w:clear="all"/>
      </w:r>
      <w:r>
        <w:rPr>
          <w:highlight w:val="none"/>
        </w:rPr>
      </w:r>
      <w:r>
        <w:rPr>
          <w:highlight w:val="none"/>
        </w:rPr>
      </w:r>
    </w:p>
    <w:p>
      <w:pPr>
        <w:pBdr/>
        <w:spacing/>
        <w:ind/>
        <w:rPr>
          <w:rFonts w:ascii="Calibri" w:hAnsi="Calibri" w:eastAsia="Calibri" w:cs="Calibri"/>
          <w:b/>
          <w:bCs/>
          <w:color w:val="376092" w:themeColor="accent1" w:themeShade="BF"/>
          <w:sz w:val="28"/>
          <w:szCs w:val="28"/>
          <w14:ligatures w14:val="none"/>
        </w:rPr>
      </w:pPr>
      <w:r>
        <w:rPr>
          <w:rFonts w:ascii="Calibri" w:hAnsi="Calibri" w:eastAsia="Calibri" w:cs="Calibri"/>
          <w:b/>
          <w:bCs/>
          <w:color w:val="376092" w:themeColor="accent1" w:themeShade="BF"/>
          <w:sz w:val="28"/>
          <w:szCs w:val="28"/>
        </w:rPr>
        <w:t xml:space="preserve">Legal Disclaimer</w:t>
      </w:r>
      <w:r>
        <w:rPr>
          <w:rFonts w:ascii="Calibri" w:hAnsi="Calibri" w:eastAsia="Calibri" w:cs="Calibri"/>
          <w:b/>
          <w:bCs/>
          <w:color w:val="376092" w:themeColor="accent1" w:themeShade="BF"/>
          <w:sz w:val="28"/>
          <w:szCs w:val="28"/>
          <w14:ligatures w14:val="none"/>
        </w:rPr>
      </w:r>
      <w:r>
        <w:rPr>
          <w:rFonts w:ascii="Calibri" w:hAnsi="Calibri" w:eastAsia="Calibri" w:cs="Calibri"/>
          <w:b/>
          <w:bCs/>
          <w:color w:val="376092" w:themeColor="accent1" w:themeShade="BF"/>
          <w:sz w:val="28"/>
          <w:szCs w:val="28"/>
          <w14:ligatures w14:val="none"/>
        </w:rPr>
      </w:r>
    </w:p>
    <w:p>
      <w:pPr>
        <w:pBdr/>
        <w:spacing/>
        <w:ind/>
        <w:rPr/>
      </w:pPr>
      <w:r>
        <w:t xml:space="preserve">This companion artifact is provided for implementation support and does not constitute legal advice. Validate all controls, evidence and records against your organisation, scope, risk context and applicable requirements.</w:t>
      </w:r>
      <w:r/>
    </w:p>
    <w:p>
      <w:pPr>
        <w:pBdr/>
        <w:spacing/>
        <w:ind/>
        <w:rPr/>
      </w:pPr>
      <w:r>
        <w:t xml:space="preserve">© </w:t>
      </w:r>
      <w:r>
        <w:rPr>
          <w:lang w:val="es-ES"/>
        </w:rPr>
        <w:t xml:space="preserve">2026. MessemerTech O</w:t>
      </w:r>
      <w:r>
        <w:rPr>
          <w:lang w:val="es-ES"/>
        </w:rPr>
        <w:t xml:space="preserve">Ü</w:t>
      </w:r>
      <w:r>
        <w:t xml:space="preserve">. ExportableProof is an imprint of MessemerTech. All rights reserved.</w:t>
      </w:r>
      <w:r/>
    </w:p>
    <w:p>
      <w:pPr>
        <w:pBdr/>
        <w:spacing/>
        <w:ind/>
        <w:rPr/>
      </w:pPr>
      <w:r>
        <w:br w:type="page" w:clear="all"/>
      </w:r>
      <w:r/>
    </w:p>
    <w:p>
      <w:pPr>
        <w:pStyle w:val="989"/>
        <w:suppressLineNumbers w:val="false"/>
        <w:pBdr>
          <w:top w:val="none" w:color="000000" w:sz="4" w:space="0"/>
          <w:left w:val="none" w:color="000000" w:sz="4" w:space="0"/>
          <w:bottom w:val="none" w:color="000000" w:sz="8" w:space="0"/>
          <w:right w:val="none" w:color="000000" w:sz="4" w:space="0"/>
          <w:between w:val="none" w:color="000000" w:sz="4" w:space="0"/>
        </w:pBdr>
        <w:spacing/>
        <w:ind/>
        <w:rPr>
          <w:b/>
          <w:bCs/>
          <w:color w:val="376092" w:themeColor="accent1" w:themeShade="BF"/>
          <w:sz w:val="28"/>
          <w:szCs w:val="28"/>
        </w:rPr>
      </w:pPr>
      <w:r>
        <w:rPr>
          <w:b/>
          <w:bCs/>
          <w:color w:val="376092" w:themeColor="accent1" w:themeShade="BF"/>
          <w:sz w:val="28"/>
          <w:szCs w:val="28"/>
        </w:rPr>
        <w:t xml:space="preserve">Table of </w:t>
      </w:r>
      <w:r>
        <w:rPr>
          <w:b/>
          <w:bCs/>
          <w:color w:val="376092" w:themeColor="accent1" w:themeShade="BF"/>
          <w:sz w:val="28"/>
          <w:szCs w:val="28"/>
        </w:rPr>
        <w:t xml:space="preserve">Contents</w:t>
      </w:r>
      <w:r>
        <w:rPr>
          <w:b/>
          <w:bCs/>
          <w:color w:val="376092" w:themeColor="accent1" w:themeShade="BF"/>
          <w:sz w:val="28"/>
          <w:szCs w:val="28"/>
        </w:rPr>
      </w:r>
      <w:r>
        <w:rPr>
          <w:b/>
          <w:bCs/>
          <w:color w:val="376092" w:themeColor="accent1" w:themeShade="BF"/>
          <w:sz w:val="28"/>
          <w:szCs w:val="28"/>
        </w:rPr>
      </w:r>
    </w:p>
    <w:sdt>
      <w:sdtPr>
        <w15:appearance w15:val="boundingBox"/>
        <w:placeholder>
          <w:docPart w:val="DefaultPlaceholder_TEXT"/>
        </w:placeholder>
        <w:docPartObj>
          <w:docPartGallery w:val="Table of Contents"/>
          <w:docPartUnique w:val="true"/>
        </w:docPartObj>
        <w:rPr/>
      </w:sdtPr>
      <w:sdtContent>
        <w:p w14:paraId="550DFED3">
          <w:pPr>
            <w:pStyle w:val="957"/>
            <w:pBdr/>
            <w:tabs>
              <w:tab w:val="right" w:leader="dot" w:pos="10080"/>
            </w:tabs>
            <w:spacing/>
            <w:ind/>
            <w:rPr/>
          </w:pPr>
          <w:r>
            <w:fldChar w:fldCharType="begin"/>
          </w:r>
          <w:r>
            <w:instrText xml:space="preserve">TOC \o "1-9" \h </w:instrText>
          </w:r>
          <w:r>
            <w:fldChar w:fldCharType="separate"/>
          </w:r>
          <w:r/>
          <w:r/>
        </w:p>
        <w:p>
          <w:pPr>
            <w:pStyle w:val="957"/>
            <w:tabs>
              <w:tab w:val="right" w:leader="dot" w:pos="10080"/>
            </w:tabs>
          </w:pPr>
          <w:hyperlink w:anchor="_TocRAM001" w:history="1">
            <w:r>
              <w:rPr>
                <w:rStyle w:val="955"/>
              </w:rPr>
              <w:t xml:space="preserve">Management review</w:t>
            </w:r>
            <w:r>
              <w:tab/>
            </w:r>
            <w:r>
              <w:fldChar w:fldCharType="begin"/>
              <w:instrText xml:space="preserve"> PAGEREF _TocRAM001 \h </w:instrText>
              <w:fldChar w:fldCharType="separate"/>
              <w:t xml:space="preserve"> </w:t>
              <w:fldChar w:fldCharType="end"/>
            </w:r>
          </w:hyperlink>
        </w:p>
        <w:p>
          <w:pPr>
            <w:pStyle w:val="958"/>
            <w:tabs>
              <w:tab w:val="right" w:leader="dot" w:pos="10080"/>
            </w:tabs>
          </w:pPr>
          <w:hyperlink w:anchor="_TocRAM002" w:history="1">
            <w:r>
              <w:rPr>
                <w:rStyle w:val="955"/>
              </w:rPr>
              <w:t xml:space="preserve">What this plan is</w:t>
            </w:r>
            <w:r>
              <w:tab/>
            </w:r>
            <w:r>
              <w:fldChar w:fldCharType="begin"/>
              <w:instrText xml:space="preserve"> PAGEREF _TocRAM002 \h </w:instrText>
              <w:fldChar w:fldCharType="separate"/>
              <w:t xml:space="preserve"> </w:t>
              <w:fldChar w:fldCharType="end"/>
            </w:r>
          </w:hyperlink>
        </w:p>
        <w:p>
          <w:pPr>
            <w:pStyle w:val="958"/>
            <w:tabs>
              <w:tab w:val="right" w:leader="dot" w:pos="10080"/>
            </w:tabs>
          </w:pPr>
          <w:hyperlink w:anchor="_TocRAM003" w:history="1">
            <w:r>
              <w:rPr>
                <w:rStyle w:val="955"/>
              </w:rPr>
              <w:t xml:space="preserve">Scope</w:t>
            </w:r>
            <w:r>
              <w:tab/>
            </w:r>
            <w:r>
              <w:fldChar w:fldCharType="begin"/>
              <w:instrText xml:space="preserve"> PAGEREF _TocRAM003 \h </w:instrText>
              <w:fldChar w:fldCharType="separate"/>
              <w:t xml:space="preserve"> </w:t>
              <w:fldChar w:fldCharType="end"/>
            </w:r>
          </w:hyperlink>
        </w:p>
        <w:p>
          <w:pPr>
            <w:pStyle w:val="958"/>
            <w:tabs>
              <w:tab w:val="right" w:leader="dot" w:pos="10080"/>
            </w:tabs>
          </w:pPr>
          <w:hyperlink w:anchor="_TocRAM004" w:history="1">
            <w:r>
              <w:rPr>
                <w:rStyle w:val="955"/>
              </w:rPr>
              <w:t xml:space="preserve">Terms used here</w:t>
            </w:r>
            <w:r>
              <w:tab/>
            </w:r>
            <w:r>
              <w:fldChar w:fldCharType="begin"/>
              <w:instrText xml:space="preserve"> PAGEREF _TocRAM004 \h </w:instrText>
              <w:fldChar w:fldCharType="separate"/>
              <w:t xml:space="preserve"> </w:t>
              <w:fldChar w:fldCharType="end"/>
            </w:r>
          </w:hyperlink>
        </w:p>
        <w:p>
          <w:pPr>
            <w:pStyle w:val="958"/>
            <w:tabs>
              <w:tab w:val="right" w:leader="dot" w:pos="10080"/>
            </w:tabs>
          </w:pPr>
          <w:hyperlink w:anchor="_TocRAM005" w:history="1">
            <w:r>
              <w:rPr>
                <w:rStyle w:val="955"/>
              </w:rPr>
              <w:t xml:space="preserve">Required management review inputs</w:t>
            </w:r>
            <w:r>
              <w:tab/>
            </w:r>
            <w:r>
              <w:fldChar w:fldCharType="begin"/>
              <w:instrText xml:space="preserve"> PAGEREF _TocRAM005 \h </w:instrText>
              <w:fldChar w:fldCharType="separate"/>
              <w:t xml:space="preserve"> </w:t>
              <w:fldChar w:fldCharType="end"/>
            </w:r>
          </w:hyperlink>
        </w:p>
        <w:p>
          <w:pPr>
            <w:pStyle w:val="958"/>
            <w:tabs>
              <w:tab w:val="right" w:leader="dot" w:pos="10080"/>
            </w:tabs>
          </w:pPr>
          <w:hyperlink w:anchor="_TocRAM006" w:history="1">
            <w:r>
              <w:rPr>
                <w:rStyle w:val="955"/>
              </w:rPr>
              <w:t xml:space="preserve">Management decision model</w:t>
            </w:r>
            <w:r>
              <w:tab/>
            </w:r>
            <w:r>
              <w:fldChar w:fldCharType="begin"/>
              <w:instrText xml:space="preserve"> PAGEREF _TocRAM006 \h </w:instrText>
              <w:fldChar w:fldCharType="separate"/>
              <w:t xml:space="preserve"> </w:t>
              <w:fldChar w:fldCharType="end"/>
            </w:r>
          </w:hyperlink>
        </w:p>
        <w:p>
          <w:pPr>
            <w:pStyle w:val="958"/>
            <w:tabs>
              <w:tab w:val="right" w:leader="dot" w:pos="10080"/>
            </w:tabs>
          </w:pPr>
          <w:hyperlink w:anchor="_TocRAM007" w:history="1">
            <w:r>
              <w:rPr>
                <w:rStyle w:val="955"/>
              </w:rPr>
              <w:t xml:space="preserve">Review results</w:t>
            </w:r>
            <w:r>
              <w:tab/>
            </w:r>
            <w:r>
              <w:fldChar w:fldCharType="begin"/>
              <w:instrText xml:space="preserve"> PAGEREF _TocRAM007 \h </w:instrText>
              <w:fldChar w:fldCharType="separate"/>
              <w:t xml:space="preserve"> </w:t>
              <w:fldChar w:fldCharType="end"/>
            </w:r>
          </w:hyperlink>
        </w:p>
        <w:p>
          <w:pPr>
            <w:pStyle w:val="958"/>
            <w:tabs>
              <w:tab w:val="right" w:leader="dot" w:pos="10080"/>
            </w:tabs>
          </w:pPr>
          <w:hyperlink w:anchor="_TocRAM008" w:history="1">
            <w:r>
              <w:rPr>
                <w:rStyle w:val="955"/>
              </w:rPr>
              <w:t xml:space="preserve">Decisions and actions</w:t>
            </w:r>
            <w:r>
              <w:tab/>
            </w:r>
            <w:r>
              <w:fldChar w:fldCharType="begin"/>
              <w:instrText xml:space="preserve"> PAGEREF _TocRAM008 \h </w:instrText>
              <w:fldChar w:fldCharType="separate"/>
              <w:t xml:space="preserve"> </w:t>
              <w:fldChar w:fldCharType="end"/>
            </w:r>
          </w:hyperlink>
        </w:p>
        <w:p>
          <w:pPr>
            <w:pStyle w:val="958"/>
            <w:tabs>
              <w:tab w:val="right" w:leader="dot" w:pos="10080"/>
            </w:tabs>
          </w:pPr>
          <w:hyperlink w:anchor="_TocRAM009" w:history="1">
            <w:r>
              <w:rPr>
                <w:rStyle w:val="955"/>
              </w:rPr>
              <w:t xml:space="preserve">Resource needs and improvement opportunities</w:t>
            </w:r>
            <w:r>
              <w:tab/>
            </w:r>
            <w:r>
              <w:fldChar w:fldCharType="begin"/>
              <w:instrText xml:space="preserve"> PAGEREF _TocRAM009 \h </w:instrText>
              <w:fldChar w:fldCharType="separate"/>
              <w:t xml:space="preserve"> </w:t>
              <w:fldChar w:fldCharType="end"/>
            </w:r>
          </w:hyperlink>
        </w:p>
        <w:p>
          <w:pPr>
            <w:pStyle w:val="958"/>
            <w:tabs>
              <w:tab w:val="right" w:leader="dot" w:pos="10080"/>
            </w:tabs>
          </w:pPr>
          <w:hyperlink w:anchor="_TocRAM010" w:history="1">
            <w:r>
              <w:rPr>
                <w:rStyle w:val="955"/>
              </w:rPr>
              <w:t xml:space="preserve">Next review</w:t>
            </w:r>
            <w:r>
              <w:tab/>
            </w:r>
            <w:r>
              <w:fldChar w:fldCharType="begin"/>
              <w:instrText xml:space="preserve"> PAGEREF _TocRAM010 \h </w:instrText>
              <w:fldChar w:fldCharType="separate"/>
              <w:t xml:space="preserve"> </w:t>
              <w:fldChar w:fldCharType="end"/>
            </w:r>
          </w:hyperlink>
        </w:p>
        <w:p>
          <w:pPr>
            <w:pStyle w:val="957"/>
            <w:tabs>
              <w:tab w:val="right" w:leader="dot" w:pos="10080"/>
            </w:tabs>
          </w:pPr>
          <w:hyperlink w:anchor="_TocRAM011" w:history="1">
            <w:r>
              <w:rPr>
                <w:rStyle w:val="955"/>
              </w:rPr>
              <w:t xml:space="preserve">Evidence and records</w:t>
            </w:r>
            <w:r>
              <w:tab/>
            </w:r>
            <w:r>
              <w:fldChar w:fldCharType="begin"/>
              <w:instrText xml:space="preserve"> PAGEREF _TocRAM011 \h </w:instrText>
              <w:fldChar w:fldCharType="separate"/>
              <w:t xml:space="preserve"> </w:t>
              <w:fldChar w:fldCharType="end"/>
            </w:r>
          </w:hyperlink>
        </w:p>
        <w:p>
          <w:pPr>
            <w:pStyle w:val="957"/>
            <w:tabs>
              <w:tab w:val="right" w:leader="dot" w:pos="10080"/>
            </w:tabs>
          </w:pPr>
          <w:hyperlink w:anchor="_TocRAM012" w:history="1">
            <w:r>
              <w:rPr>
                <w:rStyle w:val="955"/>
              </w:rPr>
              <w:t xml:space="preserve">References</w:t>
            </w:r>
            <w:r>
              <w:tab/>
            </w:r>
            <w:r>
              <w:fldChar w:fldCharType="begin"/>
              <w:instrText xml:space="preserve"> PAGEREF _TocRAM012 \h </w:instrText>
              <w:fldChar w:fldCharType="separate"/>
              <w:t xml:space="preserve"> </w:t>
              <w:fldChar w:fldCharType="end"/>
            </w:r>
          </w:hyperlink>
        </w:p>
        <w:p>
          <w:pPr>
            <w:pStyle w:val="958"/>
            <w:tabs>
              <w:tab w:val="right" w:leader="dot" w:pos="10080"/>
            </w:tabs>
          </w:pPr>
          <w:hyperlink w:anchor="_TocRAM013" w:history="1">
            <w:r>
              <w:rPr>
                <w:rStyle w:val="955"/>
              </w:rPr>
              <w:t xml:space="preserve">Linked documents</w:t>
            </w:r>
            <w:r>
              <w:tab/>
            </w:r>
            <w:r>
              <w:fldChar w:fldCharType="begin"/>
              <w:instrText xml:space="preserve"> PAGEREF _TocRAM013 \h </w:instrText>
              <w:fldChar w:fldCharType="separate"/>
              <w:t xml:space="preserve"> </w:t>
              <w:fldChar w:fldCharType="end"/>
            </w:r>
          </w:hyperlink>
        </w:p>
        <w:p>
          <w:pPr>
            <w:pStyle w:val="958"/>
            <w:tabs>
              <w:tab w:val="right" w:leader="dot" w:pos="10080"/>
            </w:tabs>
          </w:pPr>
          <w:hyperlink w:anchor="_TocRAM014" w:history="1">
            <w:r>
              <w:rPr>
                <w:rStyle w:val="955"/>
              </w:rPr>
              <w:t xml:space="preserve">External references</w:t>
            </w:r>
            <w:r>
              <w:tab/>
            </w:r>
            <w:r>
              <w:fldChar w:fldCharType="begin"/>
              <w:instrText xml:space="preserve"> PAGEREF _TocRAM014 \h </w:instrText>
              <w:fldChar w:fldCharType="separate"/>
              <w:t xml:space="preserve"> </w:t>
              <w:fldChar w:fldCharType="end"/>
            </w:r>
          </w:hyperlink>
        </w:p>
        <w:p w14:paraId="2B72CC78">
          <w:pPr>
            <w:pBdr/>
            <w:spacing/>
            <w:ind/>
            <w:rPr/>
          </w:pPr>
          <w:r>
            <w:fldChar w:fldCharType="end"/>
          </w:r>
          <w:r/>
        </w:p>
      </w:sdtContent>
    </w:sdt>
    <w:p>
      <w:r>
        <w:br w:type="page"/>
      </w:r>
    </w:p>
    <w:p>
      <w:pPr>
        <w:keepNext w:val="true"/>
        <w:keepLines w:val="true"/>
        <w:pBdr/>
        <w:spacing w:after="0" w:before="480"/>
        <w:ind/>
        <w:outlineLvl w:val="9"/>
      </w:pPr>
      <w:bookmarkStart w:id="1" w:name="ref_instructions"/>
      <w:r>
        <w:rPr>
          <w:rFonts w:asciiTheme="majorHAnsi" w:hAnsiTheme="majorHAnsi" w:eastAsiaTheme="majorEastAsia" w:cstheme="majorBidi"/>
          <w:b/>
          <w:bCs/>
          <w:color w:val="365f91" w:themeColor="accent1" w:themeShade="BF"/>
          <w:sz w:val="28"/>
          <w:szCs w:val="28"/>
        </w:rPr>
        <w:t>Instructions</w:t>
      </w:r>
      <w:bookmarkEnd w:id="1"/>
    </w:p>
    <w:p>
      <w:r>
        <w:rPr>
          <w:b w:val="0"/>
        </w:rPr>
        <w:t>Copy this file as the controlled Word master for your ISMS. The Arcfield identity fields on the cover are the approved worked example. Complete the steps below when you adopt the file for your organization.</w:t>
      </w:r>
    </w:p>
    <w:p>
      <w:pPr>
        <w:pStyle w:val="1006"/>
        <w:ind w:left="360" w:hanging="259"/>
        <w:numPr>
          <w:ilvl w:val="0"/>
          <w:numId w:val="10"/>
        </w:numPr>
      </w:pPr>
      <w:r>
        <w:rPr>
          <w:b w:val="0"/>
        </w:rPr>
        <w:t>Fill the cover identity fields (Organization, Version, Classification, Owner, Approver, Effective Date and Next Review Date) when you adopt this file. The Arcfield values shown here are the approved worked example.</w:t>
      </w:r>
    </w:p>
    <w:p>
      <w:pPr>
        <w:pStyle w:val="1006"/>
        <w:ind w:left="360" w:hanging="259"/>
        <w:numPr>
          <w:ilvl w:val="0"/>
          <w:numId w:val="10"/>
        </w:numPr>
      </w:pPr>
      <w:r>
        <w:rPr>
          <w:b w:val="0"/>
        </w:rPr>
        <w:t>Issue your own version and a new Revision history row. Do not edit an approved version in place.</w:t>
      </w:r>
    </w:p>
    <w:p>
      <w:pPr>
        <w:pStyle w:val="1006"/>
        <w:ind w:left="360" w:hanging="259"/>
        <w:numPr>
          <w:ilvl w:val="0"/>
          <w:numId w:val="10"/>
        </w:numPr>
      </w:pPr>
      <w:r>
        <w:rPr>
          <w:b w:val="0"/>
        </w:rPr>
        <w:t>Cite this approved version from related records. Do not copy this file into those records.</w:t>
      </w:r>
    </w:p>
    <w:p>
      <w:pPr>
        <w:spacing w:after="0"/>
      </w:pPr>
    </w:p>
    <w:tbl>
      <w:tblPr>
        <w:tblStyle w:val="1033"/>
        <w:tblW w:type="auto" w:w="0"/>
        <w:tblLook w:firstColumn="1" w:firstRow="1" w:lastColumn="0" w:lastRow="0" w:noHBand="0" w:noVBand="1" w:val="04A0"/>
      </w:tblPr>
      <w:tblGrid>
        <w:gridCol w:w="10080"/>
      </w:tblGrid>
      <w:tr>
        <w:tc>
          <w:tcPr>
            <w:tcW w:type="dxa" w:w="10080"/>
            <w:shd w:fill="EAF3FF"/>
            <w:tcBorders>
              <w:top w:val="single" w:sz="8" w:space="0" w:color="8CB4FF"/>
              <w:left w:val="single" w:sz="8" w:space="0" w:color="8CB4FF"/>
              <w:bottom w:val="single" w:sz="8" w:space="0" w:color="8CB4FF"/>
              <w:right w:val="single" w:sz="8" w:space="0" w:color="8CB4FF"/>
            </w:tcBorders>
          </w:tcPr>
          <w:p>
            <w:pPr>
              <w:spacing w:before="80" w:after="80"/>
              <w:jc w:val="left"/>
            </w:pPr>
            <w:r>
              <w:rPr>
                <w:b w:val="0"/>
              </w:rPr>
              <w:t>Hint: Apply Instructions with named owners, systems and exportable evidence. Do not leave this chapter as a heading plus a bare table.</w:t>
              <w:br/>
              <w:br/>
              <w:t>Book reference: Implementation &amp; Certification, Internal Audit &amp; Management Review</w:t>
            </w:r>
          </w:p>
        </w:tc>
      </w:tr>
    </w:tbl>
    <w:p>
      <w:r>
        <w:br w:type="page"/>
      </w:r>
    </w:p>
    <w:p>
      <w:pPr>
        <w:pStyle w:val="973"/>
        <w:outlineLvl w:val="0"/>
      </w:pPr>
      <w:bookmarkStart w:id="5" w:name="_TocRAM001"/>
      <w:bookmarkStart w:id="2" w:name="ref_management_review_content"/>
      <w:r>
        <w:t>Management review</w:t>
      </w:r>
      <w:bookmarkEnd w:id="2"/>
      <w:bookmarkEnd w:id="5"/>
    </w:p>
    <w:p>
      <w:pPr>
        <w:pStyle w:val="974"/>
        <w:outlineLvl w:val="1"/>
      </w:pPr>
      <w:bookmarkStart w:id="6" w:name="_TocRAM002"/>
      <w:r>
        <w:t>What this plan is</w:t>
      </w:r>
      <w:bookmarkEnd w:id="6"/>
    </w:p>
    <w:p>
      <w:r>
        <w:rPr>
          <w:b w:val="0"/>
        </w:rPr>
        <w:t>This document is Arcfield's Management Review Agenda &amp; Report. Prepare and report formal ISMS management reviews with decision-grade inputs and assigned outputs. It is not the governing policy, the live register or the completion record of a later cycle. This plan applies to the Arcfield Platform (B2B SaaS (Software as a Service) for regulated fintech and health customers): production, customer data, CI/CD (Continuous Integration / Continuous Delivery), privileged access and critical suppliers. Neighbouring records (ISO, CAR, IMPL-WB) cite this Document Control version. Do not copy these paragraphs into them.</w:t>
      </w:r>
    </w:p>
    <w:p>
      <w:pPr>
        <w:pStyle w:val="974"/>
        <w:outlineLvl w:val="1"/>
      </w:pPr>
      <w:bookmarkStart w:id="7" w:name="_TocRAM003"/>
      <w:r>
        <w:t>Scope</w:t>
      </w:r>
      <w:bookmarkEnd w:id="7"/>
    </w:p>
    <w:p>
      <w:r>
        <w:rPr>
          <w:b w:val="0"/>
        </w:rPr>
        <w:t>Use this table before you copy a rule into another record or exclude a duty from this file.</w:t>
      </w:r>
    </w:p>
    <w:tbl>
      <w:tblPr>
        <w:tblStyle w:val="1033"/>
        <w:tblW w:type="dxa" w:w="10080"/>
        <w:jc w:val="left"/>
        <w:tblLayout w:type="fixed"/>
        <w:tblLook w:firstColumn="1" w:firstRow="1" w:lastColumn="0" w:lastRow="0" w:noHBand="0" w:noVBand="1" w:val="04A0"/>
      </w:tblPr>
      <w:tblGrid>
        <w:gridCol w:w="3024"/>
        <w:gridCol w:w="7056"/>
      </w:tblGrid>
      <w:tr>
        <w:trPr>
          <w:tblHeader/>
          <w:cantSplit/>
        </w:trPr>
        <w:tc>
          <w:tcPr>
            <w:tcW w:type="dxa" w:w="3024"/>
            <w:shd w:fill="F7F9FC"/>
          </w:tcPr>
          <w:p>
            <w:r/>
            <w:r>
              <w:rPr>
                <w:b/>
                <w:color w:val="1F6FEB"/>
                <w:sz w:val="18"/>
              </w:rPr>
              <w:t>In this plan</w:t>
            </w:r>
          </w:p>
        </w:tc>
        <w:tc>
          <w:tcPr>
            <w:tcW w:type="dxa" w:w="7056"/>
            <w:shd w:fill="F7F9FC"/>
          </w:tcPr>
          <w:p>
            <w:r/>
            <w:r>
              <w:rPr>
                <w:b/>
                <w:color w:val="1F6FEB"/>
                <w:sz w:val="18"/>
              </w:rPr>
              <w:t>Not in this plan</w:t>
            </w:r>
          </w:p>
        </w:tc>
      </w:tr>
      <w:tr>
        <w:trPr>
          <w:cantSplit/>
        </w:trPr>
        <w:tc>
          <w:tcPr>
            <w:tcW w:type="dxa" w:w="3024"/>
          </w:tcPr>
          <w:p>
            <w:r/>
            <w:r>
              <w:rPr>
                <w:b w:val="0"/>
                <w:color w:val="1F2328"/>
                <w:sz w:val="18"/>
              </w:rPr>
              <w:t>The rules, roles, worked Arcfield example and the records this file owns.</w:t>
            </w:r>
          </w:p>
        </w:tc>
        <w:tc>
          <w:tcPr>
            <w:tcW w:type="dxa" w:w="7056"/>
          </w:tcPr>
          <w:p>
            <w:r/>
            <w:r>
              <w:rPr>
                <w:b w:val="0"/>
                <w:color w:val="1F2328"/>
                <w:sz w:val="18"/>
              </w:rPr>
              <w:t>The ISMS boundary (ISS), Annex A selection (SoA) or live rows in ISO, CAR, IMPL-WB.</w:t>
            </w:r>
          </w:p>
        </w:tc>
      </w:tr>
      <w:tr>
        <w:trPr>
          <w:cantSplit/>
        </w:trPr>
        <w:tc>
          <w:tcPr>
            <w:tcW w:type="dxa" w:w="3024"/>
          </w:tcPr>
          <w:p>
            <w:r/>
            <w:r>
              <w:rPr>
                <w:b w:val="0"/>
                <w:color w:val="1F2328"/>
                <w:sz w:val="18"/>
              </w:rPr>
              <w:t>Interfaces that must cite this Document Control version, including CI/CD, identity and suppliers where they affect CIA.</w:t>
            </w:r>
          </w:p>
        </w:tc>
        <w:tc>
          <w:tcPr>
            <w:tcW w:type="dxa" w:w="7056"/>
          </w:tcPr>
          <w:p>
            <w:r/>
            <w:r>
              <w:rPr>
                <w:b w:val="0"/>
                <w:color w:val="1F2328"/>
                <w:sz w:val="18"/>
              </w:rPr>
              <w:t>Live ISS scope rows, SoA applicability decisions, or neighbouring live registers. Those files keep their own approved versions; this file does not duplicate them.</w:t>
            </w:r>
          </w:p>
        </w:tc>
      </w:tr>
    </w:tbl>
    <w:p>
      <w:pPr>
        <w:spacing w:before="0" w:after="120"/>
      </w:pPr>
    </w:p>
    <w:p>
      <w:pPr>
        <w:pStyle w:val="974"/>
        <w:outlineLvl w:val="1"/>
      </w:pPr>
      <w:bookmarkStart w:id="8" w:name="_TocRAM004"/>
      <w:r>
        <w:t>Terms used here</w:t>
      </w:r>
      <w:bookmarkEnd w:id="8"/>
    </w:p>
    <w:p>
      <w:r>
        <w:rPr>
          <w:b w:val="0"/>
        </w:rPr>
        <w:t>These terms are local to this file. Expand every acronym on first use in the body.</w:t>
      </w:r>
    </w:p>
    <w:tbl>
      <w:tblPr>
        <w:tblStyle w:val="1033"/>
        <w:tblW w:type="dxa" w:w="10080"/>
        <w:jc w:val="left"/>
        <w:tblLayout w:type="fixed"/>
        <w:tblLook w:firstColumn="1" w:firstRow="1" w:lastColumn="0" w:lastRow="0" w:noHBand="0" w:noVBand="1" w:val="04A0"/>
      </w:tblPr>
      <w:tblGrid>
        <w:gridCol w:w="2840"/>
        <w:gridCol w:w="7240"/>
      </w:tblGrid>
      <w:tr>
        <w:trPr>
          <w:tblHeader/>
          <w:cantSplit/>
        </w:trPr>
        <w:tc>
          <w:tcPr>
            <w:tcW w:type="dxa" w:w="2840"/>
            <w:shd w:fill="F7F9FC"/>
          </w:tcPr>
          <w:p>
            <w:r/>
            <w:r>
              <w:rPr>
                <w:b/>
                <w:color w:val="1F6FEB"/>
                <w:sz w:val="18"/>
              </w:rPr>
              <w:t>Term</w:t>
            </w:r>
          </w:p>
        </w:tc>
        <w:tc>
          <w:tcPr>
            <w:tcW w:type="dxa" w:w="7240"/>
            <w:shd w:fill="F7F9FC"/>
          </w:tcPr>
          <w:p>
            <w:r/>
            <w:r>
              <w:rPr>
                <w:b/>
                <w:color w:val="1F6FEB"/>
                <w:sz w:val="18"/>
              </w:rPr>
              <w:t>Meaning</w:t>
            </w:r>
          </w:p>
        </w:tc>
      </w:tr>
      <w:tr>
        <w:trPr>
          <w:cantSplit/>
        </w:trPr>
        <w:tc>
          <w:tcPr>
            <w:tcW w:type="dxa" w:w="2840"/>
          </w:tcPr>
          <w:p>
            <w:r/>
            <w:r>
              <w:rPr>
                <w:b w:val="0"/>
                <w:color w:val="1F2328"/>
                <w:sz w:val="18"/>
              </w:rPr>
              <w:t>Owner</w:t>
            </w:r>
          </w:p>
        </w:tc>
        <w:tc>
          <w:tcPr>
            <w:tcW w:type="dxa" w:w="7240"/>
          </w:tcPr>
          <w:p>
            <w:r/>
            <w:r>
              <w:rPr>
                <w:b w:val="0"/>
                <w:color w:val="1F2328"/>
                <w:sz w:val="18"/>
              </w:rPr>
              <w:t>The named role that can be called in an audit for an outcome. A team name is not an owner.</w:t>
            </w:r>
          </w:p>
        </w:tc>
      </w:tr>
      <w:tr>
        <w:trPr>
          <w:cantSplit/>
        </w:trPr>
        <w:tc>
          <w:tcPr>
            <w:tcW w:type="dxa" w:w="2840"/>
          </w:tcPr>
          <w:p>
            <w:r/>
            <w:r>
              <w:rPr>
                <w:b w:val="0"/>
                <w:color w:val="1F2328"/>
                <w:sz w:val="18"/>
              </w:rPr>
              <w:t>Exception</w:t>
            </w:r>
          </w:p>
        </w:tc>
        <w:tc>
          <w:tcPr>
            <w:tcW w:type="dxa" w:w="7240"/>
          </w:tcPr>
          <w:p>
            <w:r/>
            <w:r>
              <w:rPr>
                <w:b w:val="0"/>
                <w:color w:val="1F2328"/>
                <w:sz w:val="18"/>
              </w:rPr>
              <w:t>A time-bound, approved departure with expiry and a compensating control.</w:t>
            </w:r>
          </w:p>
        </w:tc>
      </w:tr>
      <w:tr>
        <w:trPr>
          <w:cantSplit/>
        </w:trPr>
        <w:tc>
          <w:tcPr>
            <w:tcW w:type="dxa" w:w="2840"/>
          </w:tcPr>
          <w:p>
            <w:r/>
            <w:r>
              <w:rPr>
                <w:b w:val="0"/>
                <w:color w:val="1F2328"/>
                <w:sz w:val="18"/>
              </w:rPr>
              <w:t>CIA</w:t>
            </w:r>
          </w:p>
        </w:tc>
        <w:tc>
          <w:tcPr>
            <w:tcW w:type="dxa" w:w="7240"/>
          </w:tcPr>
          <w:p>
            <w:r/>
            <w:r>
              <w:rPr>
                <w:b w:val="0"/>
                <w:color w:val="1F2328"/>
                <w:sz w:val="18"/>
              </w:rPr>
              <w:t>Confidentiality, Integrity and Availability of in-scope information and services.</w:t>
            </w:r>
          </w:p>
        </w:tc>
      </w:tr>
      <w:tr>
        <w:trPr>
          <w:cantSplit/>
        </w:trPr>
        <w:tc>
          <w:tcPr>
            <w:tcW w:type="dxa" w:w="2840"/>
          </w:tcPr>
          <w:p>
            <w:r/>
            <w:r>
              <w:rPr>
                <w:b w:val="0"/>
                <w:color w:val="1F2328"/>
                <w:sz w:val="18"/>
              </w:rPr>
              <w:t>Document Control version</w:t>
            </w:r>
          </w:p>
        </w:tc>
        <w:tc>
          <w:tcPr>
            <w:tcW w:type="dxa" w:w="7240"/>
          </w:tcPr>
          <w:p>
            <w:r/>
            <w:r>
              <w:rPr>
                <w:b w:val="0"/>
                <w:color w:val="1F2328"/>
                <w:sz w:val="18"/>
              </w:rPr>
              <w:t>The approved version cited from neighbouring records. Do not copy this body into those records.</w:t>
            </w:r>
          </w:p>
        </w:tc>
      </w:tr>
    </w:tbl>
    <w:p>
      <w:pPr>
        <w:spacing w:before="0" w:after="120"/>
      </w:pPr>
    </w:p>
    <w:p>
      <w:pPr>
        <w:pStyle w:val="974"/>
        <w:outlineLvl w:val="1"/>
      </w:pPr>
      <w:bookmarkStart w:id="9" w:name="_TocRAM005"/>
      <w:r>
        <w:t>Required management review inputs</w:t>
      </w:r>
      <w:bookmarkEnd w:id="9"/>
    </w:p>
    <w:p>
      <w:r>
        <w:rPr>
          <w:b w:val="0"/>
        </w:rPr>
        <w:t>Required management review inputs is a Arcfield Platform operating rule for Arcfield, not a restatement of this file's purpose. Required management review inputs states the Arcfield rule, the Arcfield Platform system it binds and the evidence a second person can retrieve. Prepare and report formal ISMS management reviews with decision-grade inputs and assigned outputs. Apply it to ISMS evidence that an auditor can retrieve for Arcfield Platform. Name the owner, the live record and the review date. Cite this approved version from neighbouring records; do not copy this chapter into them.</w:t>
      </w:r>
    </w:p>
    <w:tbl>
      <w:tblPr>
        <w:tblStyle w:val="1033"/>
        <w:tblW w:type="dxa" w:w="10080"/>
        <w:jc w:val="left"/>
        <w:tblLayout w:type="fixed"/>
        <w:tblLook w:firstColumn="1" w:firstRow="1" w:lastColumn="0" w:lastRow="0" w:noHBand="0" w:noVBand="1" w:val="04A0"/>
      </w:tblPr>
      <w:tblGrid>
        <w:gridCol w:w="1720"/>
        <w:gridCol w:w="3724"/>
        <w:gridCol w:w="4636"/>
      </w:tblGrid>
      <w:tr>
        <w:trPr>
          <w:tblHeader/>
          <w:cantSplit/>
        </w:trPr>
        <w:tc>
          <w:tcPr>
            <w:tcW w:type="dxa" w:w="1720"/>
            <w:shd w:fill="F7F9FC"/>
          </w:tcPr>
          <w:p>
            <w:r/>
            <w:r>
              <w:rPr>
                <w:b/>
                <w:color w:val="1F6FEB"/>
                <w:sz w:val="18"/>
              </w:rPr>
              <w:t>Arcfield case</w:t>
            </w:r>
          </w:p>
        </w:tc>
        <w:tc>
          <w:tcPr>
            <w:tcW w:type="dxa" w:w="3724"/>
            <w:shd w:fill="F7F9FC"/>
          </w:tcPr>
          <w:p>
            <w:r/>
            <w:r>
              <w:rPr>
                <w:b/>
                <w:color w:val="1F6FEB"/>
                <w:sz w:val="18"/>
              </w:rPr>
              <w:t>Rule applied</w:t>
            </w:r>
          </w:p>
        </w:tc>
        <w:tc>
          <w:tcPr>
            <w:tcW w:type="dxa" w:w="4636"/>
            <w:shd w:fill="F7F9FC"/>
          </w:tcPr>
          <w:p>
            <w:r/>
            <w:r>
              <w:rPr>
                <w:b/>
                <w:color w:val="1F6FEB"/>
                <w:sz w:val="18"/>
              </w:rPr>
              <w:t>Evidence</w:t>
            </w:r>
          </w:p>
        </w:tc>
      </w:tr>
      <w:tr>
        <w:trPr>
          <w:cantSplit/>
        </w:trPr>
        <w:tc>
          <w:tcPr>
            <w:tcW w:type="dxa" w:w="1720"/>
          </w:tcPr>
          <w:p>
            <w:r/>
            <w:r>
              <w:rPr>
                <w:b w:val="0"/>
                <w:color w:val="1F2328"/>
                <w:sz w:val="18"/>
              </w:rPr>
              <w:t>Arcfield Platform production — required management review inputs</w:t>
            </w:r>
          </w:p>
        </w:tc>
        <w:tc>
          <w:tcPr>
            <w:tcW w:type="dxa" w:w="3724"/>
          </w:tcPr>
          <w:p>
            <w:r/>
            <w:r>
              <w:rPr>
                <w:b w:val="0"/>
                <w:color w:val="1F2328"/>
                <w:sz w:val="18"/>
              </w:rPr>
              <w:t>Required management review inputs binds the named production system and a named owner. Prepare and report formal ISMS management reviews with decision-grade inputs and assigned outputs.</w:t>
            </w:r>
          </w:p>
        </w:tc>
        <w:tc>
          <w:tcPr>
            <w:tcW w:type="dxa" w:w="4636"/>
          </w:tcPr>
          <w:p>
            <w:r/>
            <w:r>
              <w:rPr>
                <w:b w:val="0"/>
                <w:color w:val="1F2328"/>
                <w:sz w:val="18"/>
              </w:rPr>
              <w:t>MRART-required_management_review_inputs-PROD</w:t>
            </w:r>
          </w:p>
        </w:tc>
      </w:tr>
      <w:tr>
        <w:trPr>
          <w:cantSplit/>
        </w:trPr>
        <w:tc>
          <w:tcPr>
            <w:tcW w:type="dxa" w:w="1720"/>
          </w:tcPr>
          <w:p>
            <w:r/>
            <w:r>
              <w:rPr>
                <w:b w:val="0"/>
                <w:color w:val="1F2328"/>
                <w:sz w:val="18"/>
              </w:rPr>
              <w:t>Customer data / support — required management review inputs</w:t>
            </w:r>
          </w:p>
        </w:tc>
        <w:tc>
          <w:tcPr>
            <w:tcW w:type="dxa" w:w="3724"/>
          </w:tcPr>
          <w:p>
            <w:r/>
            <w:r>
              <w:rPr>
                <w:b w:val="0"/>
                <w:color w:val="1F2328"/>
                <w:sz w:val="18"/>
              </w:rPr>
              <w:t>Support attachments and tenant configuration inherit this required management review inputs rule; they are not out of scope because they are temporary.</w:t>
            </w:r>
          </w:p>
        </w:tc>
        <w:tc>
          <w:tcPr>
            <w:tcW w:type="dxa" w:w="4636"/>
          </w:tcPr>
          <w:p>
            <w:r/>
            <w:r>
              <w:rPr>
                <w:b w:val="0"/>
                <w:color w:val="1F2328"/>
                <w:sz w:val="18"/>
              </w:rPr>
              <w:t>MRART-required_management_review_inputs-CUST</w:t>
            </w:r>
          </w:p>
        </w:tc>
      </w:tr>
      <w:tr>
        <w:trPr>
          <w:cantSplit/>
        </w:trPr>
        <w:tc>
          <w:tcPr>
            <w:tcW w:type="dxa" w:w="1720"/>
          </w:tcPr>
          <w:p>
            <w:r/>
            <w:r>
              <w:rPr>
                <w:b w:val="0"/>
                <w:color w:val="1F2328"/>
                <w:sz w:val="18"/>
              </w:rPr>
              <w:t>Supplier or CI/CD — required management review inputs</w:t>
            </w:r>
          </w:p>
        </w:tc>
        <w:tc>
          <w:tcPr>
            <w:tcW w:type="dxa" w:w="3724"/>
          </w:tcPr>
          <w:p>
            <w:r/>
            <w:r>
              <w:rPr>
                <w:b w:val="0"/>
                <w:color w:val="1F2328"/>
                <w:sz w:val="18"/>
              </w:rPr>
              <w:t>Name the shared-responsibility split for required management review inputs on hosting, identity and deploy paths. An unnamed interface is an unnamed audit boundary.</w:t>
            </w:r>
          </w:p>
        </w:tc>
        <w:tc>
          <w:tcPr>
            <w:tcW w:type="dxa" w:w="4636"/>
          </w:tcPr>
          <w:p>
            <w:r/>
            <w:r>
              <w:rPr>
                <w:b w:val="0"/>
                <w:color w:val="1F2328"/>
                <w:sz w:val="18"/>
              </w:rPr>
              <w:t>MRART-required_management_review_inputs-SUP</w:t>
            </w:r>
          </w:p>
        </w:tc>
      </w:tr>
    </w:tbl>
    <w:p>
      <w:pPr>
        <w:spacing w:before="0" w:after="120"/>
      </w:pPr>
    </w:p>
    <w:p>
      <w:pPr>
        <w:pStyle w:val="974"/>
        <w:outlineLvl w:val="1"/>
      </w:pPr>
      <w:bookmarkStart w:id="10" w:name="_TocRAM006"/>
      <w:r>
        <w:t>Management decision model</w:t>
      </w:r>
      <w:bookmarkEnd w:id="10"/>
    </w:p>
    <w:p>
      <w:r>
        <w:rPr>
          <w:b w:val="0"/>
        </w:rPr>
        <w:t>Management decision model is a Arcfield Platform operating rule for Arcfield, not a restatement of this file's purpose. Management decision model states the Arcfield rule, the Arcfield Platform system it binds and the evidence a second person can retrieve. Prepare and report formal ISMS management reviews with decision-grade inputs and assigned outputs. Apply it to Arcfield Platform production, customer data, CI/CD, privileged access and critical suppliers. Name the owner, the live record and the review date. Cite this approved version from neighbouring records; do not copy this chapter into them.</w:t>
      </w:r>
    </w:p>
    <w:tbl>
      <w:tblPr>
        <w:tblStyle w:val="1033"/>
        <w:tblW w:type="dxa" w:w="10080"/>
        <w:jc w:val="left"/>
        <w:tblLayout w:type="fixed"/>
        <w:tblLook w:firstColumn="1" w:firstRow="1" w:lastColumn="0" w:lastRow="0" w:noHBand="0" w:noVBand="1" w:val="04A0"/>
      </w:tblPr>
      <w:tblGrid>
        <w:gridCol w:w="1720"/>
        <w:gridCol w:w="4516"/>
        <w:gridCol w:w="3844"/>
      </w:tblGrid>
      <w:tr>
        <w:trPr>
          <w:tblHeader/>
          <w:cantSplit/>
        </w:trPr>
        <w:tc>
          <w:tcPr>
            <w:tcW w:type="dxa" w:w="1720"/>
            <w:shd w:fill="F7F9FC"/>
          </w:tcPr>
          <w:p>
            <w:r/>
            <w:r>
              <w:rPr>
                <w:b/>
                <w:color w:val="1F6FEB"/>
                <w:sz w:val="18"/>
              </w:rPr>
              <w:t>Arcfield case</w:t>
            </w:r>
          </w:p>
        </w:tc>
        <w:tc>
          <w:tcPr>
            <w:tcW w:type="dxa" w:w="4516"/>
            <w:shd w:fill="F7F9FC"/>
          </w:tcPr>
          <w:p>
            <w:r/>
            <w:r>
              <w:rPr>
                <w:b/>
                <w:color w:val="1F6FEB"/>
                <w:sz w:val="18"/>
              </w:rPr>
              <w:t>Rule applied</w:t>
            </w:r>
          </w:p>
        </w:tc>
        <w:tc>
          <w:tcPr>
            <w:tcW w:type="dxa" w:w="3844"/>
            <w:shd w:fill="F7F9FC"/>
          </w:tcPr>
          <w:p>
            <w:r/>
            <w:r>
              <w:rPr>
                <w:b/>
                <w:color w:val="1F6FEB"/>
                <w:sz w:val="18"/>
              </w:rPr>
              <w:t>Evidence</w:t>
            </w:r>
          </w:p>
        </w:tc>
      </w:tr>
      <w:tr>
        <w:trPr>
          <w:cantSplit/>
        </w:trPr>
        <w:tc>
          <w:tcPr>
            <w:tcW w:type="dxa" w:w="1720"/>
          </w:tcPr>
          <w:p>
            <w:r/>
            <w:r>
              <w:rPr>
                <w:b w:val="0"/>
                <w:color w:val="1F2328"/>
                <w:sz w:val="18"/>
              </w:rPr>
              <w:t>Arcfield Platform production — management decision model</w:t>
            </w:r>
          </w:p>
        </w:tc>
        <w:tc>
          <w:tcPr>
            <w:tcW w:type="dxa" w:w="4516"/>
          </w:tcPr>
          <w:p>
            <w:r/>
            <w:r>
              <w:rPr>
                <w:b w:val="0"/>
                <w:color w:val="1F2328"/>
                <w:sz w:val="18"/>
              </w:rPr>
              <w:t>Management decision model binds the named production system and a named owner. Prepare and report formal ISMS management reviews with decision-grade inputs and assigned outputs.</w:t>
            </w:r>
          </w:p>
        </w:tc>
        <w:tc>
          <w:tcPr>
            <w:tcW w:type="dxa" w:w="3844"/>
          </w:tcPr>
          <w:p>
            <w:r/>
            <w:r>
              <w:rPr>
                <w:b w:val="0"/>
                <w:color w:val="1F2328"/>
                <w:sz w:val="18"/>
              </w:rPr>
              <w:t>MRART-management_decision_model-PROD</w:t>
            </w:r>
          </w:p>
        </w:tc>
      </w:tr>
      <w:tr>
        <w:trPr>
          <w:cantSplit/>
        </w:trPr>
        <w:tc>
          <w:tcPr>
            <w:tcW w:type="dxa" w:w="1720"/>
          </w:tcPr>
          <w:p>
            <w:r/>
            <w:r>
              <w:rPr>
                <w:b w:val="0"/>
                <w:color w:val="1F2328"/>
                <w:sz w:val="18"/>
              </w:rPr>
              <w:t>Customer data / support — management decision model</w:t>
            </w:r>
          </w:p>
        </w:tc>
        <w:tc>
          <w:tcPr>
            <w:tcW w:type="dxa" w:w="4516"/>
          </w:tcPr>
          <w:p>
            <w:r/>
            <w:r>
              <w:rPr>
                <w:b w:val="0"/>
                <w:color w:val="1F2328"/>
                <w:sz w:val="18"/>
              </w:rPr>
              <w:t>Support attachments and tenant configuration inherit this management decision model rule; they are not out of scope because they are temporary.</w:t>
            </w:r>
          </w:p>
        </w:tc>
        <w:tc>
          <w:tcPr>
            <w:tcW w:type="dxa" w:w="3844"/>
          </w:tcPr>
          <w:p>
            <w:r/>
            <w:r>
              <w:rPr>
                <w:b w:val="0"/>
                <w:color w:val="1F2328"/>
                <w:sz w:val="18"/>
              </w:rPr>
              <w:t>MRART-management_decision_model-CUST</w:t>
            </w:r>
          </w:p>
        </w:tc>
      </w:tr>
      <w:tr>
        <w:trPr>
          <w:cantSplit/>
        </w:trPr>
        <w:tc>
          <w:tcPr>
            <w:tcW w:type="dxa" w:w="1720"/>
          </w:tcPr>
          <w:p>
            <w:r/>
            <w:r>
              <w:rPr>
                <w:b w:val="0"/>
                <w:color w:val="1F2328"/>
                <w:sz w:val="18"/>
              </w:rPr>
              <w:t>Supplier or CI/CD — management decision model</w:t>
            </w:r>
          </w:p>
        </w:tc>
        <w:tc>
          <w:tcPr>
            <w:tcW w:type="dxa" w:w="4516"/>
          </w:tcPr>
          <w:p>
            <w:r/>
            <w:r>
              <w:rPr>
                <w:b w:val="0"/>
                <w:color w:val="1F2328"/>
                <w:sz w:val="18"/>
              </w:rPr>
              <w:t>Name the shared-responsibility split for management decision model on hosting, identity and deploy paths. An unnamed interface is an unnamed audit boundary.</w:t>
            </w:r>
          </w:p>
        </w:tc>
        <w:tc>
          <w:tcPr>
            <w:tcW w:type="dxa" w:w="3844"/>
          </w:tcPr>
          <w:p>
            <w:r/>
            <w:r>
              <w:rPr>
                <w:b w:val="0"/>
                <w:color w:val="1F2328"/>
                <w:sz w:val="18"/>
              </w:rPr>
              <w:t>MRART-management_decision_model-SUP</w:t>
            </w:r>
          </w:p>
        </w:tc>
      </w:tr>
    </w:tbl>
    <w:p>
      <w:pPr>
        <w:spacing w:before="0" w:after="120"/>
      </w:pPr>
    </w:p>
    <w:p>
      <w:pPr>
        <w:pStyle w:val="974"/>
        <w:outlineLvl w:val="1"/>
      </w:pPr>
      <w:bookmarkStart w:id="11" w:name="_TocRAM007"/>
      <w:r>
        <w:t>Review results</w:t>
      </w:r>
      <w:bookmarkEnd w:id="11"/>
    </w:p>
    <w:p>
      <w:r>
        <w:rPr>
          <w:b w:val="0"/>
        </w:rPr>
        <w:t>Review results is a Arcfield Platform operating rule for Arcfield, not a restatement of this file's purpose. Review results states the Arcfield rule, the Arcfield Platform system it binds and the evidence a second person can retrieve. Prepare and report formal ISMS management reviews with decision-grade inputs and assigned outputs. Apply it to Arcfield Platform production, customer data, CI/CD, privileged access and critical suppliers. Name the owner, the live record and the review date. Cite this approved version from neighbouring records; do not copy this chapter into them.</w:t>
      </w:r>
    </w:p>
    <w:tbl>
      <w:tblPr>
        <w:tblStyle w:val="1033"/>
        <w:tblW w:type="dxa" w:w="10080"/>
        <w:jc w:val="left"/>
        <w:tblLayout w:type="fixed"/>
        <w:tblLook w:firstColumn="1" w:firstRow="1" w:lastColumn="0" w:lastRow="0" w:noHBand="0" w:noVBand="1" w:val="04A0"/>
      </w:tblPr>
      <w:tblGrid>
        <w:gridCol w:w="3760"/>
        <w:gridCol w:w="3160"/>
        <w:gridCol w:w="3160"/>
      </w:tblGrid>
      <w:tr>
        <w:trPr>
          <w:tblHeader/>
          <w:cantSplit/>
        </w:trPr>
        <w:tc>
          <w:tcPr>
            <w:tcW w:type="dxa" w:w="3760"/>
            <w:shd w:fill="F7F9FC"/>
          </w:tcPr>
          <w:p>
            <w:r/>
            <w:r>
              <w:rPr>
                <w:b/>
                <w:color w:val="1F6FEB"/>
                <w:sz w:val="18"/>
              </w:rPr>
              <w:t>Arcfield case</w:t>
            </w:r>
          </w:p>
        </w:tc>
        <w:tc>
          <w:tcPr>
            <w:tcW w:type="dxa" w:w="3160"/>
            <w:shd w:fill="F7F9FC"/>
          </w:tcPr>
          <w:p>
            <w:r/>
            <w:r>
              <w:rPr>
                <w:b/>
                <w:color w:val="1F6FEB"/>
                <w:sz w:val="18"/>
              </w:rPr>
              <w:t>Rule applied</w:t>
            </w:r>
          </w:p>
        </w:tc>
        <w:tc>
          <w:tcPr>
            <w:tcW w:type="dxa" w:w="3160"/>
            <w:shd w:fill="F7F9FC"/>
          </w:tcPr>
          <w:p>
            <w:r/>
            <w:r>
              <w:rPr>
                <w:b/>
                <w:color w:val="1F6FEB"/>
                <w:sz w:val="18"/>
              </w:rPr>
              <w:t>Evidence</w:t>
            </w:r>
          </w:p>
        </w:tc>
      </w:tr>
      <w:tr>
        <w:trPr>
          <w:cantSplit/>
        </w:trPr>
        <w:tc>
          <w:tcPr>
            <w:tcW w:type="dxa" w:w="3760"/>
          </w:tcPr>
          <w:p>
            <w:r/>
            <w:r>
              <w:rPr>
                <w:b w:val="0"/>
                <w:color w:val="1F2328"/>
                <w:sz w:val="18"/>
              </w:rPr>
              <w:t>Arcfield Platform production — review results</w:t>
            </w:r>
          </w:p>
        </w:tc>
        <w:tc>
          <w:tcPr>
            <w:tcW w:type="dxa" w:w="3160"/>
          </w:tcPr>
          <w:p>
            <w:r/>
            <w:r>
              <w:rPr>
                <w:b w:val="0"/>
                <w:color w:val="1F2328"/>
                <w:sz w:val="18"/>
              </w:rPr>
              <w:t>Review results binds the named production system and a named owner. Prepare and report formal ISMS management reviews with decision-grade inputs and assigned outputs.</w:t>
            </w:r>
          </w:p>
        </w:tc>
        <w:tc>
          <w:tcPr>
            <w:tcW w:type="dxa" w:w="3160"/>
          </w:tcPr>
          <w:p>
            <w:r/>
            <w:r>
              <w:rPr>
                <w:b w:val="0"/>
                <w:color w:val="1F2328"/>
                <w:sz w:val="18"/>
              </w:rPr>
              <w:t>MRART-review_results-PROD</w:t>
            </w:r>
          </w:p>
        </w:tc>
      </w:tr>
      <w:tr>
        <w:trPr>
          <w:cantSplit/>
        </w:trPr>
        <w:tc>
          <w:tcPr>
            <w:tcW w:type="dxa" w:w="3760"/>
          </w:tcPr>
          <w:p>
            <w:r/>
            <w:r>
              <w:rPr>
                <w:b w:val="0"/>
                <w:color w:val="1F2328"/>
                <w:sz w:val="18"/>
              </w:rPr>
              <w:t>Customer data / support — review results</w:t>
            </w:r>
          </w:p>
        </w:tc>
        <w:tc>
          <w:tcPr>
            <w:tcW w:type="dxa" w:w="3160"/>
          </w:tcPr>
          <w:p>
            <w:r/>
            <w:r>
              <w:rPr>
                <w:b w:val="0"/>
                <w:color w:val="1F2328"/>
                <w:sz w:val="18"/>
              </w:rPr>
              <w:t>Support attachments and tenant configuration inherit this review results rule; they are not out of scope because they are temporary.</w:t>
            </w:r>
          </w:p>
        </w:tc>
        <w:tc>
          <w:tcPr>
            <w:tcW w:type="dxa" w:w="3160"/>
          </w:tcPr>
          <w:p>
            <w:r/>
            <w:r>
              <w:rPr>
                <w:b w:val="0"/>
                <w:color w:val="1F2328"/>
                <w:sz w:val="18"/>
              </w:rPr>
              <w:t>MRART-review_results-CUST</w:t>
            </w:r>
          </w:p>
        </w:tc>
      </w:tr>
      <w:tr>
        <w:trPr>
          <w:cantSplit/>
        </w:trPr>
        <w:tc>
          <w:tcPr>
            <w:tcW w:type="dxa" w:w="3760"/>
          </w:tcPr>
          <w:p>
            <w:r/>
            <w:r>
              <w:rPr>
                <w:b w:val="0"/>
                <w:color w:val="1F2328"/>
                <w:sz w:val="18"/>
              </w:rPr>
              <w:t>Supplier or CI/CD — review results</w:t>
            </w:r>
          </w:p>
        </w:tc>
        <w:tc>
          <w:tcPr>
            <w:tcW w:type="dxa" w:w="3160"/>
          </w:tcPr>
          <w:p>
            <w:r/>
            <w:r>
              <w:rPr>
                <w:b w:val="0"/>
                <w:color w:val="1F2328"/>
                <w:sz w:val="18"/>
              </w:rPr>
              <w:t>Name the shared-responsibility split for review results on hosting, identity and deploy paths. An unnamed interface is an unnamed audit boundary.</w:t>
            </w:r>
          </w:p>
        </w:tc>
        <w:tc>
          <w:tcPr>
            <w:tcW w:type="dxa" w:w="3160"/>
          </w:tcPr>
          <w:p>
            <w:r/>
            <w:r>
              <w:rPr>
                <w:b w:val="0"/>
                <w:color w:val="1F2328"/>
                <w:sz w:val="18"/>
              </w:rPr>
              <w:t>MRART-review_results-SUP</w:t>
            </w:r>
          </w:p>
        </w:tc>
      </w:tr>
    </w:tbl>
    <w:p>
      <w:pPr>
        <w:spacing w:before="0" w:after="120"/>
      </w:pPr>
    </w:p>
    <w:p>
      <w:pPr>
        <w:pStyle w:val="974"/>
        <w:outlineLvl w:val="1"/>
      </w:pPr>
      <w:bookmarkStart w:id="12" w:name="_TocRAM008"/>
      <w:r>
        <w:t>Decisions and actions</w:t>
      </w:r>
      <w:bookmarkEnd w:id="12"/>
    </w:p>
    <w:p>
      <w:r>
        <w:rPr>
          <w:b w:val="0"/>
        </w:rPr>
        <w:t>Decisions and actions is a Arcfield Platform operating rule for Arcfield, not a restatement of this file's purpose. Decisions and actions states the Arcfield rule, the Arcfield Platform system it binds and the evidence a second person can retrieve. Prepare and report formal ISMS management reviews with decision-grade inputs and assigned outputs. Apply it to Arcfield Platform production, customer data, CI/CD, privileged access and critical suppliers. Name the owner, the live record and the review date. Cite this approved version from neighbouring records; do not copy this chapter into them.</w:t>
      </w:r>
    </w:p>
    <w:tbl>
      <w:tblPr>
        <w:tblStyle w:val="1033"/>
        <w:tblW w:type="dxa" w:w="10080"/>
        <w:jc w:val="left"/>
        <w:tblLayout w:type="fixed"/>
        <w:tblLook w:firstColumn="1" w:firstRow="1" w:lastColumn="0" w:lastRow="0" w:noHBand="0" w:noVBand="1" w:val="04A0"/>
      </w:tblPr>
      <w:tblGrid>
        <w:gridCol w:w="3472"/>
        <w:gridCol w:w="3160"/>
        <w:gridCol w:w="3448"/>
      </w:tblGrid>
      <w:tr>
        <w:trPr>
          <w:tblHeader/>
          <w:cantSplit/>
        </w:trPr>
        <w:tc>
          <w:tcPr>
            <w:tcW w:type="dxa" w:w="3472"/>
            <w:shd w:fill="F7F9FC"/>
          </w:tcPr>
          <w:p>
            <w:r/>
            <w:r>
              <w:rPr>
                <w:b/>
                <w:color w:val="1F6FEB"/>
                <w:sz w:val="18"/>
              </w:rPr>
              <w:t>Arcfield case</w:t>
            </w:r>
          </w:p>
        </w:tc>
        <w:tc>
          <w:tcPr>
            <w:tcW w:type="dxa" w:w="3160"/>
            <w:shd w:fill="F7F9FC"/>
          </w:tcPr>
          <w:p>
            <w:r/>
            <w:r>
              <w:rPr>
                <w:b/>
                <w:color w:val="1F6FEB"/>
                <w:sz w:val="18"/>
              </w:rPr>
              <w:t>Rule applied</w:t>
            </w:r>
          </w:p>
        </w:tc>
        <w:tc>
          <w:tcPr>
            <w:tcW w:type="dxa" w:w="3448"/>
            <w:shd w:fill="F7F9FC"/>
          </w:tcPr>
          <w:p>
            <w:r/>
            <w:r>
              <w:rPr>
                <w:b/>
                <w:color w:val="1F6FEB"/>
                <w:sz w:val="18"/>
              </w:rPr>
              <w:t>Evidence</w:t>
            </w:r>
          </w:p>
        </w:tc>
      </w:tr>
      <w:tr>
        <w:trPr>
          <w:cantSplit/>
        </w:trPr>
        <w:tc>
          <w:tcPr>
            <w:tcW w:type="dxa" w:w="3472"/>
          </w:tcPr>
          <w:p>
            <w:r/>
            <w:r>
              <w:rPr>
                <w:b w:val="0"/>
                <w:color w:val="1F2328"/>
                <w:sz w:val="18"/>
              </w:rPr>
              <w:t>Arcfield Platform production — decisions and actions</w:t>
            </w:r>
          </w:p>
        </w:tc>
        <w:tc>
          <w:tcPr>
            <w:tcW w:type="dxa" w:w="3160"/>
          </w:tcPr>
          <w:p>
            <w:r/>
            <w:r>
              <w:rPr>
                <w:b w:val="0"/>
                <w:color w:val="1F2328"/>
                <w:sz w:val="18"/>
              </w:rPr>
              <w:t>Decisions and actions binds the named production system and a named owner. Prepare and report formal ISMS management reviews with decision-grade inputs and assigned outputs.</w:t>
            </w:r>
          </w:p>
        </w:tc>
        <w:tc>
          <w:tcPr>
            <w:tcW w:type="dxa" w:w="3448"/>
          </w:tcPr>
          <w:p>
            <w:r/>
            <w:r>
              <w:rPr>
                <w:b w:val="0"/>
                <w:color w:val="1F2328"/>
                <w:sz w:val="18"/>
              </w:rPr>
              <w:t>MRART-decisions_and_actions-PROD</w:t>
            </w:r>
          </w:p>
        </w:tc>
      </w:tr>
      <w:tr>
        <w:trPr>
          <w:cantSplit/>
        </w:trPr>
        <w:tc>
          <w:tcPr>
            <w:tcW w:type="dxa" w:w="3472"/>
          </w:tcPr>
          <w:p>
            <w:r/>
            <w:r>
              <w:rPr>
                <w:b w:val="0"/>
                <w:color w:val="1F2328"/>
                <w:sz w:val="18"/>
              </w:rPr>
              <w:t>Customer data / support — decisions and actions</w:t>
            </w:r>
          </w:p>
        </w:tc>
        <w:tc>
          <w:tcPr>
            <w:tcW w:type="dxa" w:w="3160"/>
          </w:tcPr>
          <w:p>
            <w:r/>
            <w:r>
              <w:rPr>
                <w:b w:val="0"/>
                <w:color w:val="1F2328"/>
                <w:sz w:val="18"/>
              </w:rPr>
              <w:t>Support attachments and tenant configuration inherit this decisions and actions rule; they are not out of scope because they are temporary.</w:t>
            </w:r>
          </w:p>
        </w:tc>
        <w:tc>
          <w:tcPr>
            <w:tcW w:type="dxa" w:w="3448"/>
          </w:tcPr>
          <w:p>
            <w:r/>
            <w:r>
              <w:rPr>
                <w:b w:val="0"/>
                <w:color w:val="1F2328"/>
                <w:sz w:val="18"/>
              </w:rPr>
              <w:t>MRART-decisions_and_actions-CUST</w:t>
            </w:r>
          </w:p>
        </w:tc>
      </w:tr>
      <w:tr>
        <w:trPr>
          <w:cantSplit/>
        </w:trPr>
        <w:tc>
          <w:tcPr>
            <w:tcW w:type="dxa" w:w="3472"/>
          </w:tcPr>
          <w:p>
            <w:r/>
            <w:r>
              <w:rPr>
                <w:b w:val="0"/>
                <w:color w:val="1F2328"/>
                <w:sz w:val="18"/>
              </w:rPr>
              <w:t>Supplier or CI/CD — decisions and actions</w:t>
            </w:r>
          </w:p>
        </w:tc>
        <w:tc>
          <w:tcPr>
            <w:tcW w:type="dxa" w:w="3160"/>
          </w:tcPr>
          <w:p>
            <w:r/>
            <w:r>
              <w:rPr>
                <w:b w:val="0"/>
                <w:color w:val="1F2328"/>
                <w:sz w:val="18"/>
              </w:rPr>
              <w:t>Name the shared-responsibility split for decisions and actions on hosting, identity and deploy paths. An unnamed interface is an unnamed audit boundary.</w:t>
            </w:r>
          </w:p>
        </w:tc>
        <w:tc>
          <w:tcPr>
            <w:tcW w:type="dxa" w:w="3448"/>
          </w:tcPr>
          <w:p>
            <w:r/>
            <w:r>
              <w:rPr>
                <w:b w:val="0"/>
                <w:color w:val="1F2328"/>
                <w:sz w:val="18"/>
              </w:rPr>
              <w:t>MRART-decisions_and_actions-SUP</w:t>
            </w:r>
          </w:p>
        </w:tc>
      </w:tr>
    </w:tbl>
    <w:p>
      <w:pPr>
        <w:spacing w:before="0" w:after="120"/>
      </w:pPr>
    </w:p>
    <w:p>
      <w:pPr>
        <w:pStyle w:val="974"/>
        <w:outlineLvl w:val="1"/>
      </w:pPr>
      <w:bookmarkStart w:id="13" w:name="_TocRAM009"/>
      <w:r>
        <w:t>Resource needs and improvement opportunities</w:t>
      </w:r>
      <w:bookmarkEnd w:id="13"/>
    </w:p>
    <w:p>
      <w:r>
        <w:rPr>
          <w:b w:val="0"/>
        </w:rPr>
        <w:t>Resource needs and improvement opportunities is a Arcfield Platform operating rule for Arcfield, not a restatement of this file's purpose. Resource needs and improvement opportunities states the Arcfield rule, the Arcfield Platform system it binds and the evidence a second person can retrieve. Prepare and report formal ISMS management reviews with decision-grade inputs and assigned outputs. Apply it to Arcfield Platform production, customer data, CI/CD, privileged access and critical suppliers. Name the owner, the live record and the review date. Cite this approved version from neighbouring records; do not copy this chapter into them.</w:t>
      </w:r>
    </w:p>
    <w:tbl>
      <w:tblPr>
        <w:tblStyle w:val="1033"/>
        <w:tblW w:type="dxa" w:w="10080"/>
        <w:jc w:val="left"/>
        <w:tblLayout w:type="fixed"/>
        <w:tblLook w:firstColumn="1" w:firstRow="1" w:lastColumn="0" w:lastRow="0" w:noHBand="0" w:noVBand="1" w:val="04A0"/>
      </w:tblPr>
      <w:tblGrid>
        <w:gridCol w:w="2152"/>
        <w:gridCol w:w="3160"/>
        <w:gridCol w:w="4768"/>
      </w:tblGrid>
      <w:tr>
        <w:trPr>
          <w:tblHeader/>
          <w:cantSplit/>
        </w:trPr>
        <w:tc>
          <w:tcPr>
            <w:tcW w:type="dxa" w:w="2152"/>
            <w:shd w:fill="F7F9FC"/>
          </w:tcPr>
          <w:p>
            <w:r/>
            <w:r>
              <w:rPr>
                <w:b/>
                <w:color w:val="1F6FEB"/>
                <w:sz w:val="18"/>
              </w:rPr>
              <w:t>Arcfield case</w:t>
            </w:r>
          </w:p>
        </w:tc>
        <w:tc>
          <w:tcPr>
            <w:tcW w:type="dxa" w:w="3160"/>
            <w:shd w:fill="F7F9FC"/>
          </w:tcPr>
          <w:p>
            <w:r/>
            <w:r>
              <w:rPr>
                <w:b/>
                <w:color w:val="1F6FEB"/>
                <w:sz w:val="18"/>
              </w:rPr>
              <w:t>Rule applied</w:t>
            </w:r>
          </w:p>
        </w:tc>
        <w:tc>
          <w:tcPr>
            <w:tcW w:type="dxa" w:w="4768"/>
            <w:shd w:fill="F7F9FC"/>
          </w:tcPr>
          <w:p>
            <w:r/>
            <w:r>
              <w:rPr>
                <w:b/>
                <w:color w:val="1F6FEB"/>
                <w:sz w:val="18"/>
              </w:rPr>
              <w:t>Evidence</w:t>
            </w:r>
          </w:p>
        </w:tc>
      </w:tr>
      <w:tr>
        <w:trPr>
          <w:cantSplit/>
        </w:trPr>
        <w:tc>
          <w:tcPr>
            <w:tcW w:type="dxa" w:w="2152"/>
          </w:tcPr>
          <w:p>
            <w:r/>
            <w:r>
              <w:rPr>
                <w:b w:val="0"/>
                <w:color w:val="1F2328"/>
                <w:sz w:val="18"/>
              </w:rPr>
              <w:t>Arcfield Platform production — resource needs and improvement opportunities</w:t>
            </w:r>
          </w:p>
        </w:tc>
        <w:tc>
          <w:tcPr>
            <w:tcW w:type="dxa" w:w="3160"/>
          </w:tcPr>
          <w:p>
            <w:r/>
            <w:r>
              <w:rPr>
                <w:b w:val="0"/>
                <w:color w:val="1F2328"/>
                <w:sz w:val="18"/>
              </w:rPr>
              <w:t>Resource needs and improvement opportunities binds the named production system and a named owner. Prepare and report formal ISMS management reviews with decision-grade inputs and assigned outputs.</w:t>
            </w:r>
          </w:p>
        </w:tc>
        <w:tc>
          <w:tcPr>
            <w:tcW w:type="dxa" w:w="4768"/>
          </w:tcPr>
          <w:p>
            <w:r/>
            <w:r>
              <w:rPr>
                <w:b w:val="0"/>
                <w:color w:val="1F2328"/>
                <w:sz w:val="18"/>
              </w:rPr>
              <w:t>MRART-resource_needs_and_improvement_opportunities-PROD</w:t>
            </w:r>
          </w:p>
        </w:tc>
      </w:tr>
      <w:tr>
        <w:trPr>
          <w:cantSplit/>
        </w:trPr>
        <w:tc>
          <w:tcPr>
            <w:tcW w:type="dxa" w:w="2152"/>
          </w:tcPr>
          <w:p>
            <w:r/>
            <w:r>
              <w:rPr>
                <w:b w:val="0"/>
                <w:color w:val="1F2328"/>
                <w:sz w:val="18"/>
              </w:rPr>
              <w:t>Customer data / support — resource needs and improvement opportunities</w:t>
            </w:r>
          </w:p>
        </w:tc>
        <w:tc>
          <w:tcPr>
            <w:tcW w:type="dxa" w:w="3160"/>
          </w:tcPr>
          <w:p>
            <w:r/>
            <w:r>
              <w:rPr>
                <w:b w:val="0"/>
                <w:color w:val="1F2328"/>
                <w:sz w:val="18"/>
              </w:rPr>
              <w:t>Support attachments and tenant configuration inherit this resource needs and improvement opportunities rule; they are not out of scope because they are temporary.</w:t>
            </w:r>
          </w:p>
        </w:tc>
        <w:tc>
          <w:tcPr>
            <w:tcW w:type="dxa" w:w="4768"/>
          </w:tcPr>
          <w:p>
            <w:r/>
            <w:r>
              <w:rPr>
                <w:b w:val="0"/>
                <w:color w:val="1F2328"/>
                <w:sz w:val="18"/>
              </w:rPr>
              <w:t>MRART-resource_needs_and_improvement_opportunities-CUST</w:t>
            </w:r>
          </w:p>
        </w:tc>
      </w:tr>
      <w:tr>
        <w:trPr>
          <w:cantSplit/>
        </w:trPr>
        <w:tc>
          <w:tcPr>
            <w:tcW w:type="dxa" w:w="2152"/>
          </w:tcPr>
          <w:p>
            <w:r/>
            <w:r>
              <w:rPr>
                <w:b w:val="0"/>
                <w:color w:val="1F2328"/>
                <w:sz w:val="18"/>
              </w:rPr>
              <w:t>Supplier or CI/CD — resource needs and improvement opportunities</w:t>
            </w:r>
          </w:p>
        </w:tc>
        <w:tc>
          <w:tcPr>
            <w:tcW w:type="dxa" w:w="3160"/>
          </w:tcPr>
          <w:p>
            <w:r/>
            <w:r>
              <w:rPr>
                <w:b w:val="0"/>
                <w:color w:val="1F2328"/>
                <w:sz w:val="18"/>
              </w:rPr>
              <w:t>Name the shared-responsibility split for resource needs and improvement opportunities on hosting, identity and deploy paths. An unnamed interface is an unnamed audit boundary.</w:t>
            </w:r>
          </w:p>
        </w:tc>
        <w:tc>
          <w:tcPr>
            <w:tcW w:type="dxa" w:w="4768"/>
          </w:tcPr>
          <w:p>
            <w:r/>
            <w:r>
              <w:rPr>
                <w:b w:val="0"/>
                <w:color w:val="1F2328"/>
                <w:sz w:val="18"/>
              </w:rPr>
              <w:t>MRART-resource_needs_and_improvement_opportunities-SUP</w:t>
            </w:r>
          </w:p>
        </w:tc>
      </w:tr>
    </w:tbl>
    <w:p>
      <w:pPr>
        <w:spacing w:before="0" w:after="120"/>
      </w:pPr>
    </w:p>
    <w:p>
      <w:pPr>
        <w:pStyle w:val="974"/>
        <w:outlineLvl w:val="1"/>
      </w:pPr>
      <w:bookmarkStart w:id="14" w:name="_TocRAM010"/>
      <w:r>
        <w:t>Next review</w:t>
      </w:r>
      <w:bookmarkEnd w:id="14"/>
    </w:p>
    <w:p>
      <w:r>
        <w:rPr>
          <w:b w:val="0"/>
        </w:rPr>
        <w:t>Next review is a Arcfield Platform operating rule for Arcfield, not a restatement of this file's purpose. Next review states the Arcfield rule, the Arcfield Platform system it binds and the evidence a second person can retrieve. Prepare and report formal ISMS management reviews with decision-grade inputs and assigned outputs. Apply it to Arcfield Platform production, customer data, CI/CD, privileged access and critical suppliers. Name the owner, the live record and the review date. Cite this approved version from neighbouring records; do not copy this chapter into them.</w:t>
      </w:r>
    </w:p>
    <w:tbl>
      <w:tblPr>
        <w:tblStyle w:val="1033"/>
        <w:tblW w:type="dxa" w:w="10080"/>
        <w:jc w:val="left"/>
        <w:tblLayout w:type="fixed"/>
        <w:tblLook w:firstColumn="1" w:firstRow="1" w:lastColumn="0" w:lastRow="0" w:noHBand="0" w:noVBand="1" w:val="04A0"/>
      </w:tblPr>
      <w:tblGrid>
        <w:gridCol w:w="3760"/>
        <w:gridCol w:w="3160"/>
        <w:gridCol w:w="3160"/>
      </w:tblGrid>
      <w:tr>
        <w:trPr>
          <w:tblHeader/>
          <w:cantSplit/>
        </w:trPr>
        <w:tc>
          <w:tcPr>
            <w:tcW w:type="dxa" w:w="3760"/>
            <w:shd w:fill="F7F9FC"/>
          </w:tcPr>
          <w:p>
            <w:r/>
            <w:r>
              <w:rPr>
                <w:b/>
                <w:color w:val="1F6FEB"/>
                <w:sz w:val="18"/>
              </w:rPr>
              <w:t>Arcfield case</w:t>
            </w:r>
          </w:p>
        </w:tc>
        <w:tc>
          <w:tcPr>
            <w:tcW w:type="dxa" w:w="3160"/>
            <w:shd w:fill="F7F9FC"/>
          </w:tcPr>
          <w:p>
            <w:r/>
            <w:r>
              <w:rPr>
                <w:b/>
                <w:color w:val="1F6FEB"/>
                <w:sz w:val="18"/>
              </w:rPr>
              <w:t>Rule applied</w:t>
            </w:r>
          </w:p>
        </w:tc>
        <w:tc>
          <w:tcPr>
            <w:tcW w:type="dxa" w:w="3160"/>
            <w:shd w:fill="F7F9FC"/>
          </w:tcPr>
          <w:p>
            <w:r/>
            <w:r>
              <w:rPr>
                <w:b/>
                <w:color w:val="1F6FEB"/>
                <w:sz w:val="18"/>
              </w:rPr>
              <w:t>Evidence</w:t>
            </w:r>
          </w:p>
        </w:tc>
      </w:tr>
      <w:tr>
        <w:trPr>
          <w:cantSplit/>
        </w:trPr>
        <w:tc>
          <w:tcPr>
            <w:tcW w:type="dxa" w:w="3760"/>
          </w:tcPr>
          <w:p>
            <w:r/>
            <w:r>
              <w:rPr>
                <w:b w:val="0"/>
                <w:color w:val="1F2328"/>
                <w:sz w:val="18"/>
              </w:rPr>
              <w:t>Arcfield Platform production — next review</w:t>
            </w:r>
          </w:p>
        </w:tc>
        <w:tc>
          <w:tcPr>
            <w:tcW w:type="dxa" w:w="3160"/>
          </w:tcPr>
          <w:p>
            <w:r/>
            <w:r>
              <w:rPr>
                <w:b w:val="0"/>
                <w:color w:val="1F2328"/>
                <w:sz w:val="18"/>
              </w:rPr>
              <w:t>Next review binds the named production system and a named owner. Prepare and report formal ISMS management reviews with decision-grade inputs and assigned outputs.</w:t>
            </w:r>
          </w:p>
        </w:tc>
        <w:tc>
          <w:tcPr>
            <w:tcW w:type="dxa" w:w="3160"/>
          </w:tcPr>
          <w:p>
            <w:r/>
            <w:r>
              <w:rPr>
                <w:b w:val="0"/>
                <w:color w:val="1F2328"/>
                <w:sz w:val="18"/>
              </w:rPr>
              <w:t>MRART-next_review-PROD</w:t>
            </w:r>
          </w:p>
        </w:tc>
      </w:tr>
      <w:tr>
        <w:trPr>
          <w:cantSplit/>
        </w:trPr>
        <w:tc>
          <w:tcPr>
            <w:tcW w:type="dxa" w:w="3760"/>
          </w:tcPr>
          <w:p>
            <w:r/>
            <w:r>
              <w:rPr>
                <w:b w:val="0"/>
                <w:color w:val="1F2328"/>
                <w:sz w:val="18"/>
              </w:rPr>
              <w:t>Customer data / support — next review</w:t>
            </w:r>
          </w:p>
        </w:tc>
        <w:tc>
          <w:tcPr>
            <w:tcW w:type="dxa" w:w="3160"/>
          </w:tcPr>
          <w:p>
            <w:r/>
            <w:r>
              <w:rPr>
                <w:b w:val="0"/>
                <w:color w:val="1F2328"/>
                <w:sz w:val="18"/>
              </w:rPr>
              <w:t>Support attachments and tenant configuration inherit this next review rule; they are not out of scope because they are temporary.</w:t>
            </w:r>
          </w:p>
        </w:tc>
        <w:tc>
          <w:tcPr>
            <w:tcW w:type="dxa" w:w="3160"/>
          </w:tcPr>
          <w:p>
            <w:r/>
            <w:r>
              <w:rPr>
                <w:b w:val="0"/>
                <w:color w:val="1F2328"/>
                <w:sz w:val="18"/>
              </w:rPr>
              <w:t>MRART-next_review-CUST</w:t>
            </w:r>
          </w:p>
        </w:tc>
      </w:tr>
      <w:tr>
        <w:trPr>
          <w:cantSplit/>
        </w:trPr>
        <w:tc>
          <w:tcPr>
            <w:tcW w:type="dxa" w:w="3760"/>
          </w:tcPr>
          <w:p>
            <w:r/>
            <w:r>
              <w:rPr>
                <w:b w:val="0"/>
                <w:color w:val="1F2328"/>
                <w:sz w:val="18"/>
              </w:rPr>
              <w:t>Supplier or CI/CD — next review</w:t>
            </w:r>
          </w:p>
        </w:tc>
        <w:tc>
          <w:tcPr>
            <w:tcW w:type="dxa" w:w="3160"/>
          </w:tcPr>
          <w:p>
            <w:r/>
            <w:r>
              <w:rPr>
                <w:b w:val="0"/>
                <w:color w:val="1F2328"/>
                <w:sz w:val="18"/>
              </w:rPr>
              <w:t>Name the shared-responsibility split for next review on hosting, identity and deploy paths. An unnamed interface is an unnamed audit boundary.</w:t>
            </w:r>
          </w:p>
        </w:tc>
        <w:tc>
          <w:tcPr>
            <w:tcW w:type="dxa" w:w="3160"/>
          </w:tcPr>
          <w:p>
            <w:r/>
            <w:r>
              <w:rPr>
                <w:b w:val="0"/>
                <w:color w:val="1F2328"/>
                <w:sz w:val="18"/>
              </w:rPr>
              <w:t>MRART-next_review-SUP</w:t>
            </w:r>
          </w:p>
        </w:tc>
      </w:tr>
    </w:tbl>
    <w:p>
      <w:pPr>
        <w:spacing w:before="0" w:after="120"/>
      </w:pPr>
    </w:p>
    <w:p>
      <w:pPr>
        <w:pStyle w:val="973"/>
        <w:outlineLvl w:val="0"/>
      </w:pPr>
      <w:bookmarkStart w:id="15" w:name="_TocRAM011"/>
      <w:bookmarkStart w:id="3" w:name="ref_evidence_and_records"/>
      <w:r>
        <w:t>Evidence and records</w:t>
      </w:r>
      <w:bookmarkEnd w:id="3"/>
      <w:bookmarkEnd w:id="15"/>
    </w:p>
    <w:p>
      <w:r>
        <w:rPr>
          <w:b w:val="0"/>
        </w:rPr>
        <w:t>Related records live in the companion documents named below. This file cites them by their approved version. It does not copy their content. The Owner named on the cover is accountable for those live records.</w:t>
      </w:r>
    </w:p>
    <w:p>
      <w:pPr>
        <w:pStyle w:val="1006"/>
        <w:ind w:left="360" w:hanging="259"/>
        <w:numPr>
          <w:ilvl w:val="0"/>
          <w:numId w:val="11"/>
        </w:numPr>
      </w:pPr>
      <w:hyperlink r:id="rId16" w:history="1">
        <w:r>
          <w:rPr>
            <w:color w:val="0563C1"/>
            <w:u w:val="single"/>
          </w:rPr>
          <w:t xml:space="preserve">Mandatory Documents and Records Register</w:t>
        </w:r>
      </w:hyperlink>
      <w:r>
        <w:rPr>
          <w:b w:val="0"/>
        </w:rPr>
        <w:t xml:space="preserve"> — The 27 mandatory ISO 27001 documents and records, with owner, required status, approval, review cadence, location and evidence readiness.</w:t>
      </w:r>
    </w:p>
    <w:p>
      <w:pPr>
        <w:pStyle w:val="1006"/>
        <w:ind w:left="360" w:hanging="259"/>
        <w:numPr>
          <w:ilvl w:val="0"/>
          <w:numId w:val="11"/>
        </w:numPr>
      </w:pPr>
      <w:hyperlink r:id="rId17" w:history="1">
        <w:r>
          <w:rPr>
            <w:color w:val="0563C1"/>
            <w:u w:val="single"/>
          </w:rPr>
          <w:t xml:space="preserve">Document Register</w:t>
        </w:r>
      </w:hyperlink>
      <w:r>
        <w:rPr>
          <w:b w:val="0"/>
        </w:rPr>
        <w:t xml:space="preserve"> — Controlled documented information: origin, owner, approver, version, review cycle, retention and location.</w:t>
      </w:r>
    </w:p>
    <w:p>
      <w:pPr>
        <w:pStyle w:val="1006"/>
        <w:ind w:left="360" w:hanging="259"/>
        <w:numPr>
          <w:ilvl w:val="0"/>
          <w:numId w:val="11"/>
        </w:numPr>
      </w:pPr>
      <w:hyperlink r:id="rId18" w:history="1">
        <w:r>
          <w:rPr>
            <w:color w:val="0563C1"/>
            <w:u w:val="single"/>
          </w:rPr>
          <w:t xml:space="preserve">Records Retention Schedule</w:t>
        </w:r>
      </w:hyperlink>
      <w:r>
        <w:rPr>
          <w:b w:val="0"/>
        </w:rPr>
        <w:t xml:space="preserve"> — Retention rules for ISMS, security, privacy, audit and operational records, with owner, period, disposal method and evidence.</w:t>
      </w:r>
    </w:p>
    <w:p>
      <w:pPr>
        <w:pStyle w:val="973"/>
        <w:outlineLvl w:val="0"/>
      </w:pPr>
      <w:bookmarkStart w:id="16" w:name="_TocRAM012"/>
      <w:bookmarkStart w:id="4" w:name="ref_external_references"/>
      <w:r>
        <w:t>References</w:t>
      </w:r>
      <w:bookmarkEnd w:id="4"/>
      <w:bookmarkEnd w:id="16"/>
    </w:p>
    <w:p>
      <w:pPr>
        <w:pStyle w:val="974"/>
        <w:outlineLvl w:val="1"/>
      </w:pPr>
      <w:bookmarkStart w:id="17" w:name="_TocRAM013"/>
      <w:r>
        <w:t>Linked documents</w:t>
      </w:r>
      <w:bookmarkEnd w:id="17"/>
    </w:p>
    <w:p>
      <w:r>
        <w:rPr>
          <w:b w:val="0"/>
        </w:rPr>
        <w:t>These companion files sit next to this document in the unpacked package. This file cites them by their approved version. It does not copy their content.</w:t>
      </w:r>
    </w:p>
    <w:p>
      <w:pPr>
        <w:pStyle w:val="1006"/>
        <w:ind w:left="360" w:hanging="259"/>
        <w:numPr>
          <w:ilvl w:val="0"/>
          <w:numId w:val="12"/>
        </w:numPr>
      </w:pPr>
      <w:hyperlink r:id="rId16" w:history="1">
        <w:r>
          <w:rPr>
            <w:color w:val="0563C1"/>
            <w:u w:val="single"/>
          </w:rPr>
          <w:t xml:space="preserve">MDR Mandatory Documents and Records Register</w:t>
        </w:r>
      </w:hyperlink>
      <w:r>
        <w:rPr>
          <w:b w:val="0"/>
        </w:rPr>
        <w:t xml:space="preserve"> — The 27 mandatory ISO 27001 documents and records, with owner, required status, approval, review cadence, location and evidence readiness.</w:t>
      </w:r>
    </w:p>
    <w:p>
      <w:pPr>
        <w:pStyle w:val="1006"/>
        <w:ind w:left="360" w:hanging="259"/>
        <w:numPr>
          <w:ilvl w:val="0"/>
          <w:numId w:val="12"/>
        </w:numPr>
      </w:pPr>
      <w:hyperlink r:id="rId17" w:history="1">
        <w:r>
          <w:rPr>
            <w:color w:val="0563C1"/>
            <w:u w:val="single"/>
          </w:rPr>
          <w:t xml:space="preserve">DR Document Register</w:t>
        </w:r>
      </w:hyperlink>
      <w:r>
        <w:rPr>
          <w:b w:val="0"/>
        </w:rPr>
        <w:t xml:space="preserve"> — Controlled documented information: origin, owner, approver, version, review cycle, retention and location.</w:t>
      </w:r>
    </w:p>
    <w:p>
      <w:pPr>
        <w:pStyle w:val="1006"/>
        <w:ind w:left="360" w:hanging="259"/>
        <w:numPr>
          <w:ilvl w:val="0"/>
          <w:numId w:val="12"/>
        </w:numPr>
      </w:pPr>
      <w:hyperlink r:id="rId18" w:history="1">
        <w:r>
          <w:rPr>
            <w:color w:val="0563C1"/>
            <w:u w:val="single"/>
          </w:rPr>
          <w:t xml:space="preserve">RRS Records Retention Schedule</w:t>
        </w:r>
      </w:hyperlink>
      <w:r>
        <w:rPr>
          <w:b w:val="0"/>
        </w:rPr>
        <w:t xml:space="preserve"> — Retention rules for ISMS, security, privacy, audit and operational records, with owner, period, disposal method and evidence.</w:t>
      </w:r>
    </w:p>
    <w:p>
      <w:pPr>
        <w:pStyle w:val="1006"/>
        <w:ind w:left="360" w:hanging="259"/>
        <w:numPr>
          <w:ilvl w:val="0"/>
          <w:numId w:val="12"/>
        </w:numPr>
      </w:pPr>
      <w:hyperlink r:id="rId19" w:history="1">
        <w:r>
          <w:rPr>
            <w:color w:val="0563C1"/>
            <w:u w:val="single"/>
          </w:rPr>
          <w:t xml:space="preserve">CAR Corrective Actions Register (Building the ISMS, Context of the Organization (Clause 4))</w:t>
        </w:r>
      </w:hyperlink>
      <w:r>
        <w:rPr>
          <w:b w:val="0"/>
        </w:rPr>
        <w:t xml:space="preserve"> — Interface record. Cite this Document Control version; do not copy this file into that record.</w:t>
      </w:r>
    </w:p>
    <w:p>
      <w:pPr>
        <w:pStyle w:val="1006"/>
        <w:ind w:left="360" w:hanging="259"/>
        <w:numPr>
          <w:ilvl w:val="0"/>
          <w:numId w:val="12"/>
        </w:numPr>
      </w:pPr>
      <w:hyperlink r:id="rId20" w:history="1">
        <w:r>
          <w:rPr>
            <w:color w:val="0563C1"/>
            <w:u w:val="single"/>
          </w:rPr>
          <w:t xml:space="preserve">IMPL-WB ISMS Implementation Workbook (Implementation &amp; Certification, Implementation Readiness &amp; Planning)</w:t>
        </w:r>
      </w:hyperlink>
      <w:r>
        <w:rPr>
          <w:b w:val="0"/>
        </w:rPr>
        <w:t xml:space="preserve"> — Interface record. Cite this Document Control version; do not copy this file into that record.</w:t>
      </w:r>
    </w:p>
    <w:p>
      <w:pPr>
        <w:pStyle w:val="1006"/>
        <w:ind w:left="360" w:hanging="259"/>
        <w:numPr>
          <w:ilvl w:val="0"/>
          <w:numId w:val="12"/>
        </w:numPr>
      </w:pPr>
      <w:hyperlink r:id="rId21" w:history="1">
        <w:r>
          <w:rPr>
            <w:color w:val="0563C1"/>
            <w:u w:val="single"/>
          </w:rPr>
          <w:t xml:space="preserve">ISO Information Security Objectives (Building the ISMS, Information Security Policies &amp; Risk Management)</w:t>
        </w:r>
      </w:hyperlink>
      <w:r>
        <w:rPr>
          <w:b w:val="0"/>
        </w:rPr>
        <w:t xml:space="preserve"> — Interface record. Cite this Document Control version; do not copy this file into that record.</w:t>
      </w:r>
    </w:p>
    <w:p>
      <w:pPr>
        <w:pStyle w:val="1006"/>
        <w:ind w:left="360" w:hanging="259"/>
        <w:numPr>
          <w:ilvl w:val="0"/>
          <w:numId w:val="12"/>
        </w:numPr>
      </w:pPr>
      <w:hyperlink r:id="rId22" w:history="1">
        <w:r>
          <w:rPr>
            <w:color w:val="0563C1"/>
            <w:u w:val="single"/>
          </w:rPr>
          <w:t xml:space="preserve">MRMT Management Review Minutes Template (Implementation &amp; Certification, Internal Audit &amp; Management Review)</w:t>
        </w:r>
      </w:hyperlink>
      <w:r>
        <w:rPr>
          <w:b w:val="0"/>
        </w:rPr>
        <w:t xml:space="preserve"> — Interface record. Cite this Document Control version; do not copy this file into that record.</w:t>
      </w:r>
    </w:p>
    <w:p>
      <w:pPr>
        <w:pStyle w:val="974"/>
        <w:outlineLvl w:val="1"/>
      </w:pPr>
      <w:bookmarkStart w:id="18" w:name="_TocRAM014"/>
      <w:r>
        <w:t>External references</w:t>
      </w:r>
      <w:bookmarkEnd w:id="18"/>
    </w:p>
    <w:p>
      <w:r>
        <w:rPr>
          <w:b w:val="0"/>
        </w:rPr>
        <w:t>Cite these ISO clauses and book chapters from workshops and audits.</w:t>
      </w:r>
    </w:p>
    <w:p>
      <w:pPr>
        <w:pStyle w:val="1006"/>
        <w:ind w:left="360" w:hanging="259"/>
        <w:numPr>
          <w:ilvl w:val="0"/>
          <w:numId w:val="13"/>
        </w:numPr>
      </w:pPr>
      <w:hyperlink r:id="rId23" w:history="1">
        <w:r>
          <w:rPr>
            <w:color w:val="0563C1"/>
            <w:u w:val="single"/>
          </w:rPr>
          <w:t xml:space="preserve">ISO/IEC 27001:2022</w:t>
        </w:r>
      </w:hyperlink>
      <w:r>
        <w:rPr>
          <w:b w:val="0"/>
        </w:rPr>
        <w:t xml:space="preserve"> — Normative ISMS requirements this companion artifact supports.</w:t>
      </w:r>
    </w:p>
    <w:p>
      <w:pPr>
        <w:pStyle w:val="1006"/>
        <w:ind w:left="360" w:hanging="259"/>
        <w:numPr>
          <w:ilvl w:val="0"/>
          <w:numId w:val="13"/>
        </w:numPr>
      </w:pPr>
      <w:hyperlink r:id="rId24" w:history="1">
        <w:r>
          <w:rPr>
            <w:color w:val="0563C1"/>
            <w:u w:val="single"/>
          </w:rPr>
          <w:t xml:space="preserve">Implementation &amp; Certification, Internal Audit &amp; Management Review</w:t>
        </w:r>
      </w:hyperlink>
      <w:r>
        <w:rPr>
          <w:b w:val="0"/>
        </w:rPr>
        <w:t xml:space="preserve"> — Primary operating chapter for this companion artifact.</w:t>
      </w:r>
    </w:p>
    <w:p>
      <w:pPr>
        <w:pStyle w:val="1006"/>
        <w:ind w:left="360" w:hanging="259"/>
        <w:numPr>
          <w:ilvl w:val="0"/>
          <w:numId w:val="13"/>
        </w:numPr>
      </w:pPr>
      <w:hyperlink r:id="rId24" w:history="1">
        <w:r>
          <w:rPr>
            <w:color w:val="0563C1"/>
            <w:u w:val="single"/>
          </w:rPr>
          <w:t xml:space="preserve">Implementation &amp; Certification, Internal Audit &amp; Management Review</w:t>
        </w:r>
      </w:hyperlink>
      <w:r>
        <w:rPr>
          <w:b w:val="0"/>
        </w:rPr>
        <w:t xml:space="preserve"> — Primary operating chapter for this companion artifact.</w:t>
      </w:r>
    </w:p>
    <w:p>
      <w:pPr>
        <w:pStyle w:val="1006"/>
        <w:ind w:left="360" w:hanging="259"/>
        <w:numPr>
          <w:ilvl w:val="0"/>
          <w:numId w:val="13"/>
        </w:numPr>
      </w:pPr>
      <w:hyperlink r:id="rId25" w:history="1">
        <w:r>
          <w:rPr>
            <w:color w:val="0563C1"/>
            <w:u w:val="single"/>
          </w:rPr>
          <w:t xml:space="preserve">Building the ISMS, Planning, Risk &amp; Objectives (Clause 6)</w:t>
        </w:r>
      </w:hyperlink>
      <w:r>
        <w:rPr>
          <w:b w:val="0"/>
        </w:rPr>
        <w:t xml:space="preserve"> — Documented information, review and version discipline.</w:t>
      </w:r>
    </w:p>
    <w:sectPr>
      <w:headerReference w:type="default" r:id="rId10"/>
      <w:footerReference w:type="default" r:id="rId11"/>
      <w:headerReference w:type="first" r:id="rId14"/>
      <w:footerReference w:type="first" r:id="rId15"/>
      <w:footnotePr/>
      <w:endnotePr/>
      <w:type w:val="nextPage"/>
      <w:pgSz w:h="15840" w:orient="portrait" w:w="12240"/>
      <w:pgMar w:top="1008" w:right="1080" w:bottom="1008" w:left="1080" w:header="720" w:footer="720" w:gutter="0"/>
      <w:cols w:num="1" w:sep="0" w:space="720" w:equalWidth="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Symbol">
    <w:panose1 w:val="05010000000000000000"/>
  </w:font>
  <w:font w:name="Courier"/>
  <w:font w:name="Arial">
    <w:panose1 w:val="020B0604020202020204"/>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Style w:val="1033"/>
      <w:tblW w:w="0" w:type="auto"/>
      <w:tblBorders/>
      <w:tblLayout w:type="fixed"/>
      <w:tblLook w:val="04A0" w:firstRow="1" w:lastRow="0" w:firstColumn="1" w:lastColumn="0" w:noHBand="0" w:noVBand="1"/>
    </w:tblPr>
    <w:tblGrid>
      <w:gridCol w:w="8949"/>
      <w:gridCol w:w="1131"/>
    </w:tblGrid>
    <w:tr>
      <w:trPr/>
      <w:tc>
        <w:tcPr>
          <w:tcBorders>
            <w:top w:val="none" w:color="000000" w:sz="4" w:space="0"/>
            <w:left w:val="none" w:color="000000" w:sz="4" w:space="0"/>
            <w:bottom w:val="none" w:color="000000" w:sz="4" w:space="0"/>
            <w:right w:val="none" w:color="000000" w:sz="4" w:space="0"/>
          </w:tcBorders>
          <w:tcW w:w="8949" w:type="dxa"/>
        </w:tcPr>
        <w:p w14:paraId="5CF692DF">
          <w:pPr>
            <w:pStyle w:val="971"/>
            <w:pBdr/>
            <w:spacing/>
            <w:ind/>
            <w:jc w:val="left"/>
            <w:rPr/>
          </w:pPr>
          <w:r>
            <w:rPr>
              <w:sz w:val="16"/>
            </w:rPr>
            <w:t xml:space="preserve">© </w:t>
          </w:r>
          <w:r>
            <w:rPr>
              <w:sz w:val="16"/>
              <w:lang w:val="es-ES"/>
            </w:rPr>
            <w:t xml:space="preserve">2026</w:t>
          </w:r>
          <w:r>
            <w:rPr>
              <w:sz w:val="16"/>
            </w:rPr>
            <w:t xml:space="preserve">.</w:t>
          </w:r>
          <w:r>
            <w:rPr>
              <w:sz w:val="16"/>
              <w:lang w:val="es-ES"/>
            </w:rPr>
            <w:t xml:space="preserve"> MessemerTech O</w:t>
          </w:r>
          <w:r>
            <w:rPr>
              <w:sz w:val="16"/>
              <w:lang w:val="es-ES"/>
            </w:rPr>
            <w:t xml:space="preserve">Ü</w:t>
          </w:r>
          <w:r>
            <w:rPr>
              <w:sz w:val="16"/>
              <w:lang w:val="es-ES"/>
            </w:rPr>
            <w:t xml:space="preserve">.</w:t>
          </w:r>
          <w:r>
            <w:rPr>
              <w:sz w:val="16"/>
            </w:rPr>
            <w:t xml:space="preserve"> ExportableProof is an imprint of MessemerTech. All rights reserved.</w:t>
          </w:r>
          <w:r>
            <w:rPr>
              <w:sz w:val="16"/>
              <w:lang w:val="es-ES"/>
            </w:rPr>
            <w:t xml:space="preserve"> </w:t>
          </w:r>
          <w:r/>
        </w:p>
        <w:p w14:paraId="4D434DCC">
          <w:pPr>
            <w:pStyle w:val="971"/>
            <w:pBdr/>
            <w:spacing/>
            <w:ind/>
            <w:jc w:val="center"/>
            <w:rPr>
              <w:sz w:val="16"/>
              <w:szCs w:val="16"/>
            </w:rPr>
          </w:pPr>
          <w:r>
            <w:rPr>
              <w:sz w:val="16"/>
              <w:szCs w:val="16"/>
            </w:rPr>
          </w:r>
          <w:r>
            <w:rPr>
              <w:sz w:val="16"/>
              <w:szCs w:val="16"/>
            </w:rPr>
          </w:r>
          <w:r>
            <w:rPr>
              <w:sz w:val="16"/>
              <w:szCs w:val="16"/>
            </w:rPr>
          </w:r>
        </w:p>
      </w:tc>
      <w:tc>
        <w:tcPr>
          <w:tcBorders>
            <w:top w:val="none" w:color="000000" w:sz="4" w:space="0"/>
            <w:left w:val="none" w:color="000000" w:sz="4" w:space="0"/>
            <w:bottom w:val="none" w:color="000000" w:sz="4" w:space="0"/>
            <w:right w:val="none" w:color="000000" w:sz="4" w:space="0"/>
          </w:tcBorders>
          <w:tcW w:w="1131" w:type="dxa"/>
        </w:tcPr>
        <w:p w14:paraId="3F298D0C">
          <w:pPr>
            <w:pStyle w:val="971"/>
            <w:pBdr/>
            <w:spacing/>
            <w:ind/>
            <w:jc w:val="center"/>
            <w:rPr>
              <w:sz w:val="16"/>
              <w:szCs w:val="16"/>
            </w:rPr>
          </w:pPr>
          <w:r>
            <w:rPr>
              <w:sz w:val="16"/>
              <w:szCs w:val="16"/>
            </w:rPr>
          </w:r>
          <w:r>
            <w:rPr>
              <w:sz w:val="16"/>
              <w:lang w:val="es-ES"/>
            </w:rPr>
            <w:t xml:space="preserve">Page </w:t>
          </w:r>
          <w:fldSimple w:instr="PAGE \* MERGEFORMAT">
            <w:r>
              <w:rPr>
                <w:sz w:val="16"/>
                <w:lang w:val="es-ES"/>
              </w:rPr>
              <w:t xml:space="preserve">1</w:t>
            </w:r>
          </w:fldSimple>
          <w:r>
            <w:rPr>
              <w:sz w:val="16"/>
              <w:lang w:val="es-ES"/>
            </w:rPr>
          </w:r>
          <w:r>
            <w:rPr>
              <w:sz w:val="16"/>
              <w:szCs w:val="16"/>
            </w:rPr>
          </w:r>
          <w:r>
            <w:rPr>
              <w:sz w:val="16"/>
              <w:szCs w:val="16"/>
            </w:rPr>
          </w:r>
        </w:p>
      </w:tc>
    </w:tr>
  </w:tbl>
  <w:p>
    <w:pPr>
      <w:pStyle w:val="971"/>
      <w:pBdr/>
      <w:spacing/>
      <w:ind/>
      <w:jc w:val="center"/>
      <w:rPr/>
    </w:pPr>
    <w:r>
      <w:rPr>
        <w:sz w:val="16"/>
      </w:rPr>
    </w: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D8C6AB4">
    <w:pPr>
      <w:pStyle w:val="969"/>
      <w:pBdr/>
      <w:spacing/>
      <w:ind/>
      <w:rPr/>
    </w:pPr>
    <w:r/>
    <w:r/>
  </w:p>
  <w:tbl>
    <w:tblPr>
      <w:tblStyle w:val="1033"/>
      <w:tblW w:w="0" w:type="auto"/>
      <w:tblBorders/>
      <w:tblLayout w:type="fixed"/>
      <w:tblLook w:val="04A0" w:firstRow="1" w:lastRow="0" w:firstColumn="1" w:lastColumn="0" w:noHBand="0" w:noVBand="1"/>
    </w:tblPr>
    <w:tblGrid>
      <w:gridCol w:w="7674"/>
      <w:gridCol w:w="2409"/>
    </w:tblGrid>
    <w:tr>
      <w:trPr/>
      <w:tc>
        <w:tcPr>
          <w:tcBorders>
            <w:top w:val="none" w:color="000000" w:sz="4" w:space="0"/>
            <w:left w:val="none" w:color="000000" w:sz="4" w:space="0"/>
            <w:bottom w:val="none" w:color="000000" w:sz="4" w:space="0"/>
            <w:right w:val="none" w:color="000000" w:sz="4" w:space="0"/>
          </w:tcBorders>
          <w:tcW w:w="7674" w:type="dxa"/>
        </w:tcPr>
        <w:p w14:paraId="0010B06F">
          <w:pPr>
            <w:pStyle w:val="969"/>
            <w:pBdr/>
            <w:spacing/>
            <w:ind/>
            <w:rPr/>
          </w:pPr>
          <w:r>
            <w:rPr>
              <w:lang w:val="es-ES"/>
            </w:rPr>
            <w:t xml:space="preserve">Management Review Agenda &amp; Report (MRART)</w:t>
          </w:r>
          <w:r/>
        </w:p>
      </w:tc>
      <w:tc>
        <w:tcPr>
          <w:tcBorders>
            <w:top w:val="none" w:color="000000" w:sz="4" w:space="0"/>
            <w:left w:val="none" w:color="000000" w:sz="4" w:space="0"/>
            <w:bottom w:val="none" w:color="000000" w:sz="4" w:space="0"/>
            <w:right w:val="none" w:color="000000" w:sz="4" w:space="0"/>
          </w:tcBorders>
          <w:tcW w:w="2409" w:type="dxa"/>
        </w:tcPr>
        <w:p w14:paraId="7DF2328B">
          <w:pPr>
            <w:pStyle w:val="969"/>
            <w:pBdr/>
            <w:spacing/>
            <w:ind/>
            <w:rPr/>
          </w:pPr>
          <w:r>
            <mc:AlternateContent>
              <mc:Choice Requires="wpg">
                <w:drawing>
                  <wp:inline xmlns:wp="http://schemas.openxmlformats.org/drawingml/2006/wordprocessingDrawing" distT="0" distB="0" distL="0" distR="0">
                    <wp:extent cx="1510455" cy="377614"/>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732848" name=""/>
                            <pic:cNvPicPr>
                              <a:picLocks noChangeAspect="1"/>
                            </pic:cNvPicPr>
                            <pic:nvPr/>
                          </pic:nvPicPr>
                          <pic:blipFill rotWithShape="1">
                            <a:blip r:embed="rId1"/>
                            <a:stretch/>
                          </pic:blipFill>
                          <pic:spPr bwMode="auto">
                            <a:xfrm flipH="0" flipV="0">
                              <a:off x="0" y="0"/>
                              <a:ext cx="1510454" cy="37761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118.93pt;height:29.73pt;mso-wrap-distance-left:0.00pt;mso-wrap-distance-top:0.00pt;mso-wrap-distance-right:0.00pt;mso-wrap-distance-bottom:0.00pt;z-index:1;" stroked="false">
                    <v:imagedata r:id="rId1" o:title=""/>
                    <o:lock v:ext="edit" rotation="t"/>
                  </v:shape>
                </w:pict>
              </mc:Fallback>
            </mc:AlternateContent>
          </w:r>
          <w:r/>
        </w:p>
      </w:tc>
    </w:tr>
  </w:tbl>
  <w:p w14:paraId="149041BC">
    <w:pPr>
      <w:pStyle w:val="969"/>
      <w:pBdr/>
      <w:spacing/>
      <w:ind/>
      <w:rPr/>
    </w:pPr>
    <w: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lvl w:ilvl="0">
      <w:isLgl w:val="false"/>
      <w:lvlJc w:val="left"/>
      <w:lvlText w:val="%1."/>
      <w:numFmt w:val="decimal"/>
      <w:pPr>
        <w:pBdr/>
        <w:tabs>
          <w:tab w:val="num" w:leader="none" w:pos="1800"/>
        </w:tabs>
        <w:spacing/>
        <w:ind w:hanging="360" w:left="180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1">
    <w:nsid w:val="FFFFFF7D"/>
    <w:lvl w:ilvl="0">
      <w:isLgl w:val="false"/>
      <w:lvlJc w:val="left"/>
      <w:lvlText w:val="%1."/>
      <w:numFmt w:val="decimal"/>
      <w:pPr>
        <w:pBdr/>
        <w:tabs>
          <w:tab w:val="num" w:leader="none" w:pos="1440"/>
        </w:tabs>
        <w:spacing/>
        <w:ind w:hanging="360" w:left="144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2">
    <w:nsid w:val="FFFFFF7E"/>
    <w:lvl w:ilvl="0">
      <w:isLgl w:val="false"/>
      <w:lvlJc w:val="left"/>
      <w:lvlText w:val="%1."/>
      <w:numFmt w:val="decimal"/>
      <w:pPr>
        <w:pBdr/>
        <w:tabs>
          <w:tab w:val="num" w:leader="none" w:pos="1080"/>
        </w:tabs>
        <w:spacing/>
        <w:ind w:hanging="360" w:left="1080"/>
      </w:pPr>
      <w:pStyle w:val="1008"/>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3">
    <w:nsid w:val="FFFFFF7F"/>
    <w:lvl w:ilvl="0">
      <w:isLgl w:val="false"/>
      <w:lvlJc w:val="left"/>
      <w:lvlText w:val="%1."/>
      <w:numFmt w:val="decimal"/>
      <w:pPr>
        <w:pBdr/>
        <w:tabs>
          <w:tab w:val="num" w:leader="none" w:pos="720"/>
        </w:tabs>
        <w:spacing/>
        <w:ind w:hanging="360" w:left="720"/>
      </w:pPr>
      <w:pStyle w:val="1007"/>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4">
    <w:nsid w:val="FFFFFF81"/>
    <w:lvl w:ilvl="0">
      <w:isLgl w:val="false"/>
      <w:lvlJc w:val="left"/>
      <w:lvlText w:val=""/>
      <w:numFmt w:val="bullet"/>
      <w:pPr>
        <w:pBdr/>
        <w:tabs>
          <w:tab w:val="num" w:leader="none" w:pos="1440"/>
        </w:tabs>
        <w:spacing/>
        <w:ind w:hanging="360" w:left="1440"/>
      </w:pPr>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5">
    <w:nsid w:val="FFFFFF82"/>
    <w:lvl w:ilvl="0">
      <w:isLgl w:val="false"/>
      <w:lvlJc w:val="left"/>
      <w:lvlText w:val=""/>
      <w:numFmt w:val="bullet"/>
      <w:pPr>
        <w:pBdr/>
        <w:tabs>
          <w:tab w:val="num" w:leader="none" w:pos="1080"/>
        </w:tabs>
        <w:spacing/>
        <w:ind w:hanging="360" w:left="1080"/>
      </w:pPr>
      <w:pStyle w:val="1005"/>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6">
    <w:nsid w:val="FFFFFF83"/>
    <w:lvl w:ilvl="0">
      <w:isLgl w:val="false"/>
      <w:lvlJc w:val="left"/>
      <w:lvlText w:val=""/>
      <w:numFmt w:val="bullet"/>
      <w:pPr>
        <w:pBdr/>
        <w:tabs>
          <w:tab w:val="num" w:leader="none" w:pos="720"/>
        </w:tabs>
        <w:spacing/>
        <w:ind w:hanging="360" w:left="720"/>
      </w:pPr>
      <w:pStyle w:val="1004"/>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7">
    <w:nsid w:val="FFFFFF88"/>
    <w:lvl w:ilvl="0">
      <w:isLgl w:val="false"/>
      <w:lvlJc w:val="left"/>
      <w:lvlText w:val="%1."/>
      <w:numFmt w:val="decimal"/>
      <w:pPr>
        <w:pBdr/>
        <w:tabs>
          <w:tab w:val="num" w:leader="none" w:pos="360"/>
        </w:tabs>
        <w:spacing/>
        <w:ind w:hanging="360" w:left="360"/>
      </w:pPr>
      <w:pStyle w:val="1006"/>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8">
    <w:nsid w:val="FFFFFF89"/>
    <w:lvl w:ilvl="0">
      <w:isLgl w:val="false"/>
      <w:lvlJc w:val="left"/>
      <w:lvlText w:val=""/>
      <w:numFmt w:val="bullet"/>
      <w:pPr>
        <w:pBdr/>
        <w:tabs>
          <w:tab w:val="num" w:leader="none" w:pos="360"/>
        </w:tabs>
        <w:spacing/>
        <w:ind w:hanging="360" w:left="360"/>
      </w:pPr>
      <w:pStyle w:val="1003"/>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useFELayout w:val="tru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EastAsia"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24">
    <w:name w:val="Table Grid Light"/>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Plain Table 1"/>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Plain Table 2"/>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Plain Table 3"/>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Plain Table 4"/>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Plain Table 5"/>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1 Light"/>
    <w:basedOn w:val="98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1 Light - Accent 1"/>
    <w:basedOn w:val="98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1 Light - Accent 2"/>
    <w:basedOn w:val="98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1 Light - Accent 3"/>
    <w:basedOn w:val="98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1 Light - Accent 4"/>
    <w:basedOn w:val="98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1 Light - Accent 5"/>
    <w:basedOn w:val="98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1 Light - Accent 6"/>
    <w:basedOn w:val="98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2"/>
    <w:basedOn w:val="98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2 - Accent 1"/>
    <w:basedOn w:val="98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2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2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2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2 - Accent 5"/>
    <w:basedOn w:val="98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2 - Accent 6"/>
    <w:basedOn w:val="98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3"/>
    <w:basedOn w:val="98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3 - Accent 1"/>
    <w:basedOn w:val="98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3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3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3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3 - Accent 5"/>
    <w:basedOn w:val="98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3 - Accent 6"/>
    <w:basedOn w:val="98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4"/>
    <w:basedOn w:val="98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4 - Accent 1"/>
    <w:basedOn w:val="98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4 - Accent 2"/>
    <w:basedOn w:val="98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4 - Accent 3"/>
    <w:basedOn w:val="98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4 - Accent 4"/>
    <w:basedOn w:val="98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4 - Accent 5"/>
    <w:basedOn w:val="98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4 - Accent 6"/>
    <w:basedOn w:val="98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5 Dark"/>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5 Dark- Accent 1"/>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5 Dark - Accent 2"/>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5 Dark - Accent 3"/>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5 Dark- Accent 4"/>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5 Dark - Accent 5"/>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5 Dark - Accent 6"/>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6 Colorful"/>
    <w:basedOn w:val="98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66">
    <w:name w:val="Grid Table 6 Colorful - Accent 1"/>
    <w:basedOn w:val="98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67">
    <w:name w:val="Grid Table 6 Colorful - Accent 2"/>
    <w:basedOn w:val="98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68">
    <w:name w:val="Grid Table 6 Colorful - Accent 3"/>
    <w:basedOn w:val="98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69">
    <w:name w:val="Grid Table 6 Colorful - Accent 4"/>
    <w:basedOn w:val="98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70">
    <w:name w:val="Grid Table 6 Colorful - Accent 5"/>
    <w:basedOn w:val="98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1">
    <w:name w:val="Grid Table 6 Colorful - Accent 6"/>
    <w:basedOn w:val="98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2">
    <w:name w:val="Grid Table 7 Colorful"/>
    <w:basedOn w:val="98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7 Colorful - Accent 1"/>
    <w:basedOn w:val="98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7 Colorful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7 Colorful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7 Colorful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7 Colorful - Accent 5"/>
    <w:basedOn w:val="98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7 Colorful - Accent 6"/>
    <w:basedOn w:val="98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1 Light"/>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1 Light - Accent 1"/>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1 Light - Accent 2"/>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1 Light - Accent 3"/>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1 Light - Accent 4"/>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1 Light - Accent 5"/>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1 Light - Accent 6"/>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2"/>
    <w:basedOn w:val="98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2 - Accent 1"/>
    <w:basedOn w:val="98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2 - Accent 2"/>
    <w:basedOn w:val="98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List Table 2 - Accent 3"/>
    <w:basedOn w:val="98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2 - Accent 4"/>
    <w:basedOn w:val="98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2 - Accent 5"/>
    <w:basedOn w:val="98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2 - Accent 6"/>
    <w:basedOn w:val="98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3"/>
    <w:basedOn w:val="98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3 - Accent 1"/>
    <w:basedOn w:val="98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3 - Accent 2"/>
    <w:basedOn w:val="98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3 - Accent 3"/>
    <w:basedOn w:val="98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3 - Accent 4"/>
    <w:basedOn w:val="98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3 - Accent 5"/>
    <w:basedOn w:val="98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3 - Accent 6"/>
    <w:basedOn w:val="98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4"/>
    <w:basedOn w:val="98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4 - Accent 1"/>
    <w:basedOn w:val="98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4 - Accent 2"/>
    <w:basedOn w:val="98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4 - Accent 3"/>
    <w:basedOn w:val="98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4 - Accent 4"/>
    <w:basedOn w:val="98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4 - Accent 5"/>
    <w:basedOn w:val="98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4 - Accent 6"/>
    <w:basedOn w:val="98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5 Dark"/>
    <w:basedOn w:val="98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8">
    <w:name w:val="List Table 5 Dark - Accent 1"/>
    <w:basedOn w:val="98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9">
    <w:name w:val="List Table 5 Dark - Accent 2"/>
    <w:basedOn w:val="98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0">
    <w:name w:val="List Table 5 Dark - Accent 3"/>
    <w:basedOn w:val="98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1">
    <w:name w:val="List Table 5 Dark - Accent 4"/>
    <w:basedOn w:val="98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2">
    <w:name w:val="List Table 5 Dark - Accent 5"/>
    <w:basedOn w:val="98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3">
    <w:name w:val="List Table 5 Dark - Accent 6"/>
    <w:basedOn w:val="98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4">
    <w:name w:val="List Table 6 Colorful"/>
    <w:basedOn w:val="98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6 Colorful - Accent 1"/>
    <w:basedOn w:val="98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6 Colorful - Accent 2"/>
    <w:basedOn w:val="98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6 Colorful - Accent 3"/>
    <w:basedOn w:val="98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6 Colorful - Accent 4"/>
    <w:basedOn w:val="98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6 Colorful - Accent 5"/>
    <w:basedOn w:val="98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6 Colorful - Accent 6"/>
    <w:basedOn w:val="98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7 Colorful"/>
    <w:basedOn w:val="98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22">
    <w:name w:val="List Table 7 Colorful - Accent 1"/>
    <w:basedOn w:val="98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23">
    <w:name w:val="List Table 7 Colorful - Accent 2"/>
    <w:basedOn w:val="98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24">
    <w:name w:val="List Table 7 Colorful - Accent 3"/>
    <w:basedOn w:val="98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25">
    <w:name w:val="List Table 7 Colorful - Accent 4"/>
    <w:basedOn w:val="98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26">
    <w:name w:val="List Table 7 Colorful - Accent 5"/>
    <w:basedOn w:val="98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27">
    <w:name w:val="List Table 7 Colorful - Accent 6"/>
    <w:basedOn w:val="98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28">
    <w:name w:val="Lined - Accent"/>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ned - Accent 1"/>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ned - Accent 2"/>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ned - Accent 3"/>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ned - Accent 4"/>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ned - Accent 5"/>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ned - Accent 6"/>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Bordered &amp; Lined - Accent"/>
    <w:basedOn w:val="98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Bordered &amp; Lined - Accent 1"/>
    <w:basedOn w:val="98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Bordered &amp; Lined - Accent 2"/>
    <w:basedOn w:val="98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Bordered &amp; Lined - Accent 3"/>
    <w:basedOn w:val="98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Bordered &amp; Lined - Accent 4"/>
    <w:basedOn w:val="98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Bordered &amp; Lined - Accent 5"/>
    <w:basedOn w:val="98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Bordered &amp; Lined - Accent 6"/>
    <w:basedOn w:val="98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Bordered"/>
    <w:basedOn w:val="98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Bordered - Accent 1"/>
    <w:basedOn w:val="98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Bordered - Accent 2"/>
    <w:basedOn w:val="98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Bordered - Accent 3"/>
    <w:basedOn w:val="98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Bordered - Accent 4"/>
    <w:basedOn w:val="98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Bordered - Accent 5"/>
    <w:basedOn w:val="98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 Accent 6"/>
    <w:basedOn w:val="98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49">
    <w:name w:val="footnote text"/>
    <w:link w:val="950"/>
    <w:uiPriority w:val="99"/>
    <w:semiHidden/>
    <w:unhideWhenUsed/>
    <w:pPr>
      <w:pBdr/>
      <w:spacing w:after="0" w:line="240" w:lineRule="auto"/>
      <w:ind/>
    </w:pPr>
    <w:rPr>
      <w:sz w:val="20"/>
      <w:szCs w:val="20"/>
    </w:rPr>
  </w:style>
  <w:style w:type="character" w:styleId="950">
    <w:name w:val="Footnote Text Char"/>
    <w:basedOn w:val="982"/>
    <w:link w:val="949"/>
    <w:uiPriority w:val="99"/>
    <w:semiHidden/>
    <w:pPr>
      <w:pBdr/>
      <w:spacing/>
      <w:ind/>
    </w:pPr>
    <w:rPr>
      <w:sz w:val="20"/>
      <w:szCs w:val="20"/>
    </w:rPr>
  </w:style>
  <w:style w:type="character" w:styleId="951">
    <w:name w:val="footnote reference"/>
    <w:basedOn w:val="982"/>
    <w:uiPriority w:val="99"/>
    <w:semiHidden/>
    <w:unhideWhenUsed/>
    <w:pPr>
      <w:pBdr/>
      <w:spacing/>
      <w:ind/>
    </w:pPr>
    <w:rPr>
      <w:vertAlign w:val="superscript"/>
    </w:rPr>
  </w:style>
  <w:style w:type="paragraph" w:styleId="952">
    <w:name w:val="endnote text"/>
    <w:link w:val="953"/>
    <w:uiPriority w:val="99"/>
    <w:semiHidden/>
    <w:unhideWhenUsed/>
    <w:pPr>
      <w:pBdr/>
      <w:spacing w:after="0" w:line="240" w:lineRule="auto"/>
      <w:ind/>
    </w:pPr>
    <w:rPr>
      <w:sz w:val="20"/>
      <w:szCs w:val="20"/>
    </w:rPr>
  </w:style>
  <w:style w:type="character" w:styleId="953">
    <w:name w:val="Endnote Text Char"/>
    <w:basedOn w:val="982"/>
    <w:link w:val="952"/>
    <w:uiPriority w:val="99"/>
    <w:semiHidden/>
    <w:pPr>
      <w:pBdr/>
      <w:spacing/>
      <w:ind/>
    </w:pPr>
    <w:rPr>
      <w:sz w:val="20"/>
      <w:szCs w:val="20"/>
    </w:rPr>
  </w:style>
  <w:style w:type="character" w:styleId="954">
    <w:name w:val="endnote reference"/>
    <w:basedOn w:val="982"/>
    <w:uiPriority w:val="99"/>
    <w:semiHidden/>
    <w:unhideWhenUsed/>
    <w:pPr>
      <w:pBdr/>
      <w:spacing/>
      <w:ind/>
    </w:pPr>
    <w:rPr>
      <w:vertAlign w:val="superscript"/>
    </w:rPr>
  </w:style>
  <w:style w:type="character" w:styleId="955">
    <w:name w:val="Hyperlink"/>
    <w:basedOn w:val="982"/>
    <w:uiPriority w:val="99"/>
    <w:unhideWhenUsed/>
    <w:pPr>
      <w:pBdr/>
      <w:spacing/>
      <w:ind/>
    </w:pPr>
    <w:rPr>
      <w:color w:val="0563c1" w:themeColor="hyperlink"/>
      <w:u w:val="single"/>
    </w:rPr>
  </w:style>
  <w:style w:type="character" w:styleId="956">
    <w:name w:val="FollowedHyperlink"/>
    <w:basedOn w:val="982"/>
    <w:uiPriority w:val="99"/>
    <w:semiHidden/>
    <w:unhideWhenUsed/>
    <w:pPr>
      <w:pBdr/>
      <w:spacing/>
      <w:ind/>
    </w:pPr>
    <w:rPr>
      <w:color w:val="954f72" w:themeColor="followedHyperlink"/>
      <w:u w:val="single"/>
    </w:rPr>
  </w:style>
  <w:style w:type="paragraph" w:styleId="957">
    <w:name w:val="toc 1"/>
    <w:uiPriority w:val="39"/>
    <w:unhideWhenUsed/>
    <w:pPr>
      <w:pBdr/>
      <w:spacing w:after="100"/>
      <w:ind/>
    </w:pPr>
  </w:style>
  <w:style w:type="paragraph" w:styleId="958">
    <w:name w:val="toc 2"/>
    <w:uiPriority w:val="39"/>
    <w:unhideWhenUsed/>
    <w:pPr>
      <w:pBdr/>
      <w:spacing w:after="100"/>
      <w:ind w:left="220"/>
    </w:pPr>
  </w:style>
  <w:style w:type="paragraph" w:styleId="959">
    <w:name w:val="toc 3"/>
    <w:uiPriority w:val="39"/>
    <w:unhideWhenUsed/>
    <w:pPr>
      <w:pBdr/>
      <w:spacing w:after="100"/>
      <w:ind w:left="440"/>
    </w:pPr>
  </w:style>
  <w:style w:type="paragraph" w:styleId="960">
    <w:name w:val="toc 4"/>
    <w:uiPriority w:val="39"/>
    <w:unhideWhenUsed/>
    <w:pPr>
      <w:pBdr/>
      <w:spacing w:after="100"/>
      <w:ind w:left="660"/>
    </w:pPr>
  </w:style>
  <w:style w:type="paragraph" w:styleId="961">
    <w:name w:val="toc 5"/>
    <w:uiPriority w:val="39"/>
    <w:unhideWhenUsed/>
    <w:pPr>
      <w:pBdr/>
      <w:spacing w:after="100"/>
      <w:ind w:left="880"/>
    </w:pPr>
  </w:style>
  <w:style w:type="paragraph" w:styleId="962">
    <w:name w:val="toc 6"/>
    <w:uiPriority w:val="39"/>
    <w:unhideWhenUsed/>
    <w:pPr>
      <w:pBdr/>
      <w:spacing w:after="100"/>
      <w:ind w:left="1100"/>
    </w:pPr>
  </w:style>
  <w:style w:type="paragraph" w:styleId="963">
    <w:name w:val="toc 7"/>
    <w:uiPriority w:val="39"/>
    <w:unhideWhenUsed/>
    <w:pPr>
      <w:pBdr/>
      <w:spacing w:after="100"/>
      <w:ind w:left="1320"/>
    </w:pPr>
  </w:style>
  <w:style w:type="paragraph" w:styleId="964">
    <w:name w:val="toc 8"/>
    <w:uiPriority w:val="39"/>
    <w:unhideWhenUsed/>
    <w:pPr>
      <w:pBdr/>
      <w:spacing w:after="100"/>
      <w:ind w:left="1540"/>
    </w:pPr>
  </w:style>
  <w:style w:type="paragraph" w:styleId="965">
    <w:name w:val="toc 9"/>
    <w:uiPriority w:val="39"/>
    <w:unhideWhenUsed/>
    <w:pPr>
      <w:pBdr/>
      <w:spacing w:after="100"/>
      <w:ind w:left="1760"/>
    </w:pPr>
  </w:style>
  <w:style w:type="character" w:styleId="966">
    <w:name w:val="Placeholder Text"/>
    <w:basedOn w:val="982"/>
    <w:uiPriority w:val="99"/>
    <w:semiHidden/>
    <w:pPr>
      <w:pBdr/>
      <w:spacing/>
      <w:ind/>
    </w:pPr>
    <w:rPr>
      <w:color w:val="666666"/>
    </w:rPr>
  </w:style>
  <w:style w:type="paragraph" w:styleId="967">
    <w:name w:val="table of figures"/>
    <w:uiPriority w:val="99"/>
    <w:unhideWhenUsed/>
    <w:pPr>
      <w:pBdr/>
      <w:spacing w:after="0" w:afterAutospacing="0"/>
      <w:ind/>
    </w:pPr>
  </w:style>
  <w:style w:type="paragraph" w:styleId="968" w:default="1">
    <w:name w:val="Normal"/>
    <w:qFormat/>
    <w:pPr>
      <w:pBdr/>
      <w:spacing/>
      <w:ind/>
    </w:pPr>
  </w:style>
  <w:style w:type="paragraph" w:styleId="969">
    <w:name w:val="Header"/>
    <w:link w:val="970"/>
    <w:uiPriority w:val="99"/>
    <w:unhideWhenUsed/>
    <w:pPr>
      <w:pBdr/>
      <w:tabs>
        <w:tab w:val="center" w:leader="none" w:pos="4680"/>
        <w:tab w:val="right" w:leader="none" w:pos="9360"/>
      </w:tabs>
      <w:spacing w:after="0" w:line="240" w:lineRule="auto"/>
      <w:ind/>
    </w:pPr>
  </w:style>
  <w:style w:type="character" w:styleId="970" w:customStyle="1">
    <w:name w:val="Header Char"/>
    <w:basedOn w:val="982"/>
    <w:link w:val="969"/>
    <w:uiPriority w:val="99"/>
    <w:pPr>
      <w:pBdr/>
      <w:spacing/>
      <w:ind/>
    </w:pPr>
  </w:style>
  <w:style w:type="paragraph" w:styleId="971">
    <w:name w:val="Footer"/>
    <w:link w:val="972"/>
    <w:uiPriority w:val="99"/>
    <w:unhideWhenUsed/>
    <w:pPr>
      <w:pBdr/>
      <w:tabs>
        <w:tab w:val="center" w:leader="none" w:pos="4680"/>
        <w:tab w:val="right" w:leader="none" w:pos="9360"/>
      </w:tabs>
      <w:spacing w:after="0" w:line="240" w:lineRule="auto"/>
      <w:ind/>
    </w:pPr>
  </w:style>
  <w:style w:type="character" w:styleId="972" w:customStyle="1">
    <w:name w:val="Footer Char"/>
    <w:basedOn w:val="982"/>
    <w:link w:val="971"/>
    <w:uiPriority w:val="99"/>
    <w:pPr>
      <w:pBdr/>
      <w:spacing/>
      <w:ind/>
    </w:pPr>
  </w:style>
  <w:style w:type="paragraph" w:styleId="973">
    <w:name w:val="Heading 1"/>
    <w:link w:val="986"/>
    <w:uiPriority w:val="9"/>
    <w:qFormat/>
    <w:pPr>
      <w:keepNext w:val="true"/>
      <w:keepLines w:val="true"/>
      <w:pBdr/>
      <w:spacing w:after="0" w:before="480"/>
      <w:ind/>
      <w:outlineLvl w:val="0"/>
    </w:pPr>
    <w:rPr>
      <w:rFonts w:asciiTheme="majorHAnsi" w:hAnsiTheme="majorHAnsi" w:eastAsiaTheme="majorEastAsia" w:cstheme="majorBidi"/>
      <w:b/>
      <w:bCs/>
      <w:color w:val="365f91" w:themeColor="accent1" w:themeShade="BF"/>
      <w:sz w:val="28"/>
      <w:szCs w:val="28"/>
    </w:rPr>
  </w:style>
  <w:style w:type="paragraph" w:styleId="974">
    <w:name w:val="Heading 2"/>
    <w:link w:val="987"/>
    <w:uiPriority w:val="9"/>
    <w:unhideWhenUsed/>
    <w:qFormat/>
    <w:pPr>
      <w:keepNext w:val="true"/>
      <w:keepLines w:val="true"/>
      <w:pBdr/>
      <w:spacing w:after="0" w:before="200"/>
      <w:ind/>
      <w:outlineLvl w:val="1"/>
    </w:pPr>
    <w:rPr>
      <w:rFonts w:asciiTheme="majorHAnsi" w:hAnsiTheme="majorHAnsi" w:eastAsiaTheme="majorEastAsia" w:cstheme="majorBidi"/>
      <w:b/>
      <w:bCs/>
      <w:color w:val="4f81bd" w:themeColor="accent1"/>
      <w:sz w:val="26"/>
      <w:szCs w:val="26"/>
    </w:rPr>
  </w:style>
  <w:style w:type="paragraph" w:styleId="975">
    <w:name w:val="Heading 3"/>
    <w:link w:val="988"/>
    <w:uiPriority w:val="9"/>
    <w:unhideWhenUsed/>
    <w:qFormat/>
    <w:pPr>
      <w:keepNext w:val="true"/>
      <w:keepLines w:val="true"/>
      <w:pBdr/>
      <w:spacing w:after="0" w:before="200"/>
      <w:ind/>
      <w:outlineLvl w:val="2"/>
    </w:pPr>
    <w:rPr>
      <w:rFonts w:asciiTheme="majorHAnsi" w:hAnsiTheme="majorHAnsi" w:eastAsiaTheme="majorEastAsia" w:cstheme="majorBidi"/>
      <w:b/>
      <w:bCs/>
      <w:color w:val="4f81bd" w:themeColor="accent1"/>
    </w:rPr>
  </w:style>
  <w:style w:type="paragraph" w:styleId="976">
    <w:name w:val="Heading 4"/>
    <w:link w:val="1016"/>
    <w:uiPriority w:val="9"/>
    <w:semiHidden/>
    <w:unhideWhenUsed/>
    <w:qFormat/>
    <w:pPr>
      <w:keepNext w:val="true"/>
      <w:keepLines w:val="true"/>
      <w:pBdr/>
      <w:spacing w:after="0" w:before="200"/>
      <w:ind/>
      <w:outlineLvl w:val="3"/>
    </w:pPr>
    <w:rPr>
      <w:rFonts w:asciiTheme="majorHAnsi" w:hAnsiTheme="majorHAnsi" w:eastAsiaTheme="majorEastAsia" w:cstheme="majorBidi"/>
      <w:b/>
      <w:bCs/>
      <w:i/>
      <w:iCs/>
      <w:color w:val="4f81bd" w:themeColor="accent1"/>
    </w:rPr>
  </w:style>
  <w:style w:type="paragraph" w:styleId="977">
    <w:name w:val="Heading 5"/>
    <w:link w:val="1017"/>
    <w:uiPriority w:val="9"/>
    <w:semiHidden/>
    <w:unhideWhenUsed/>
    <w:qFormat/>
    <w:pPr>
      <w:keepNext w:val="true"/>
      <w:keepLines w:val="true"/>
      <w:pBdr/>
      <w:spacing w:after="0" w:before="200"/>
      <w:ind/>
      <w:outlineLvl w:val="4"/>
    </w:pPr>
    <w:rPr>
      <w:rFonts w:asciiTheme="majorHAnsi" w:hAnsiTheme="majorHAnsi" w:eastAsiaTheme="majorEastAsia" w:cstheme="majorBidi"/>
      <w:color w:val="243f60" w:themeColor="accent1" w:themeShade="7F"/>
    </w:rPr>
  </w:style>
  <w:style w:type="paragraph" w:styleId="978">
    <w:name w:val="Heading 6"/>
    <w:link w:val="1018"/>
    <w:uiPriority w:val="9"/>
    <w:semiHidden/>
    <w:unhideWhenUsed/>
    <w:qFormat/>
    <w:pPr>
      <w:keepNext w:val="true"/>
      <w:keepLines w:val="true"/>
      <w:pBdr/>
      <w:spacing w:after="0" w:before="200"/>
      <w:ind/>
      <w:outlineLvl w:val="5"/>
    </w:pPr>
    <w:rPr>
      <w:rFonts w:asciiTheme="majorHAnsi" w:hAnsiTheme="majorHAnsi" w:eastAsiaTheme="majorEastAsia" w:cstheme="majorBidi"/>
      <w:i/>
      <w:iCs/>
      <w:color w:val="243f60" w:themeColor="accent1" w:themeShade="7F"/>
    </w:rPr>
  </w:style>
  <w:style w:type="paragraph" w:styleId="979">
    <w:name w:val="Heading 7"/>
    <w:link w:val="1019"/>
    <w:uiPriority w:val="9"/>
    <w:semiHidden/>
    <w:unhideWhenUsed/>
    <w:qFormat/>
    <w:pPr>
      <w:keepNext w:val="true"/>
      <w:keepLines w:val="true"/>
      <w:pBdr/>
      <w:spacing w:after="0" w:before="200"/>
      <w:ind/>
      <w:outlineLvl w:val="6"/>
    </w:pPr>
    <w:rPr>
      <w:rFonts w:asciiTheme="majorHAnsi" w:hAnsiTheme="majorHAnsi" w:eastAsiaTheme="majorEastAsia" w:cstheme="majorBidi"/>
      <w:i/>
      <w:iCs/>
      <w:color w:val="404040" w:themeColor="text1" w:themeTint="BF"/>
    </w:rPr>
  </w:style>
  <w:style w:type="paragraph" w:styleId="980">
    <w:name w:val="Heading 8"/>
    <w:link w:val="1020"/>
    <w:uiPriority w:val="9"/>
    <w:semiHidden/>
    <w:unhideWhenUsed/>
    <w:qFormat/>
    <w:pPr>
      <w:keepNext w:val="true"/>
      <w:keepLines w:val="true"/>
      <w:pBdr/>
      <w:spacing w:after="0" w:before="200"/>
      <w:ind/>
      <w:outlineLvl w:val="7"/>
    </w:pPr>
    <w:rPr>
      <w:rFonts w:asciiTheme="majorHAnsi" w:hAnsiTheme="majorHAnsi" w:eastAsiaTheme="majorEastAsia" w:cstheme="majorBidi"/>
      <w:color w:val="4f81bd" w:themeColor="accent1"/>
      <w:sz w:val="20"/>
      <w:szCs w:val="20"/>
    </w:rPr>
  </w:style>
  <w:style w:type="paragraph" w:styleId="981">
    <w:name w:val="Heading 9"/>
    <w:link w:val="1021"/>
    <w:uiPriority w:val="9"/>
    <w:semiHidden/>
    <w:unhideWhenUsed/>
    <w:qFormat/>
    <w:pPr>
      <w:keepNext w:val="true"/>
      <w:keepLines w:val="true"/>
      <w:pBdr/>
      <w:spacing w:after="0" w:before="200"/>
      <w:ind/>
      <w:outlineLvl w:val="8"/>
    </w:pPr>
    <w:rPr>
      <w:rFonts w:asciiTheme="majorHAnsi" w:hAnsiTheme="majorHAnsi" w:eastAsiaTheme="majorEastAsia" w:cstheme="majorBidi"/>
      <w:i/>
      <w:iCs/>
      <w:color w:val="404040" w:themeColor="text1" w:themeTint="BF"/>
      <w:sz w:val="20"/>
      <w:szCs w:val="20"/>
    </w:rPr>
  </w:style>
  <w:style w:type="character" w:styleId="982" w:default="1">
    <w:name w:val="Default Paragraph Font"/>
    <w:uiPriority w:val="1"/>
    <w:semiHidden/>
    <w:unhideWhenUsed/>
    <w:pPr>
      <w:pBdr/>
      <w:spacing/>
      <w:ind/>
    </w:pPr>
  </w:style>
  <w:style w:type="table" w:styleId="98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84" w:default="1">
    <w:name w:val="No List"/>
    <w:uiPriority w:val="99"/>
    <w:semiHidden/>
    <w:unhideWhenUsed/>
    <w:pPr>
      <w:pBdr/>
      <w:spacing/>
      <w:ind/>
    </w:pPr>
  </w:style>
  <w:style w:type="paragraph" w:styleId="985">
    <w:name w:val="No Spacing"/>
    <w:uiPriority w:val="1"/>
    <w:qFormat/>
    <w:pPr>
      <w:pBdr/>
      <w:spacing w:after="0" w:line="240" w:lineRule="auto"/>
      <w:ind/>
    </w:pPr>
  </w:style>
  <w:style w:type="character" w:styleId="986" w:customStyle="1">
    <w:name w:val="Heading 1 Char"/>
    <w:basedOn w:val="982"/>
    <w:uiPriority w:val="9"/>
    <w:pPr>
      <w:pBdr/>
      <w:spacing/>
      <w:ind/>
    </w:pPr>
    <w:rPr>
      <w:rFonts w:asciiTheme="majorHAnsi" w:hAnsiTheme="majorHAnsi" w:eastAsiaTheme="majorEastAsia" w:cstheme="majorBidi"/>
      <w:b/>
      <w:bCs/>
      <w:color w:val="365f91" w:themeColor="accent1" w:themeShade="BF"/>
      <w:sz w:val="28"/>
      <w:szCs w:val="28"/>
    </w:rPr>
  </w:style>
  <w:style w:type="character" w:styleId="987" w:customStyle="1">
    <w:name w:val="Heading 2 Char"/>
    <w:basedOn w:val="982"/>
    <w:uiPriority w:val="9"/>
    <w:pPr>
      <w:pBdr/>
      <w:spacing/>
      <w:ind/>
    </w:pPr>
    <w:rPr>
      <w:rFonts w:asciiTheme="majorHAnsi" w:hAnsiTheme="majorHAnsi" w:eastAsiaTheme="majorEastAsia" w:cstheme="majorBidi"/>
      <w:b/>
      <w:bCs/>
      <w:color w:val="4f81bd" w:themeColor="accent1"/>
      <w:sz w:val="26"/>
      <w:szCs w:val="26"/>
    </w:rPr>
  </w:style>
  <w:style w:type="character" w:styleId="988" w:customStyle="1">
    <w:name w:val="Heading 3 Char"/>
    <w:basedOn w:val="982"/>
    <w:uiPriority w:val="9"/>
    <w:pPr>
      <w:pBdr/>
      <w:spacing/>
      <w:ind/>
    </w:pPr>
    <w:rPr>
      <w:rFonts w:asciiTheme="majorHAnsi" w:hAnsiTheme="majorHAnsi" w:eastAsiaTheme="majorEastAsia" w:cstheme="majorBidi"/>
      <w:b/>
      <w:bCs/>
      <w:color w:val="4f81bd" w:themeColor="accent1"/>
    </w:rPr>
  </w:style>
  <w:style w:type="paragraph" w:styleId="989">
    <w:name w:val="Title"/>
    <w:link w:val="990"/>
    <w:uiPriority w:val="10"/>
    <w:qFormat/>
    <w:pPr>
      <w:pBdr>
        <w:bottom w:val="single" w:color="4f81bd" w:themeColor="accent1" w:sz="8" w:space="4"/>
      </w:pBdr>
      <w:spacing w:after="300" w:line="240" w:lineRule="auto"/>
      <w:ind/>
      <w:contextualSpacing w:val="true"/>
    </w:pPr>
    <w:rPr>
      <w:rFonts w:asciiTheme="majorHAnsi" w:hAnsiTheme="majorHAnsi" w:eastAsiaTheme="majorEastAsia" w:cstheme="majorBidi"/>
      <w:color w:val="17365d" w:themeColor="text2" w:themeShade="BF"/>
      <w:spacing w:val="5"/>
      <w:sz w:val="52"/>
      <w:szCs w:val="52"/>
    </w:rPr>
  </w:style>
  <w:style w:type="character" w:styleId="990" w:customStyle="1">
    <w:name w:val="Title Char"/>
    <w:basedOn w:val="982"/>
    <w:link w:val="989"/>
    <w:uiPriority w:val="10"/>
    <w:pPr>
      <w:pBdr/>
      <w:spacing/>
      <w:ind/>
    </w:pPr>
    <w:rPr>
      <w:rFonts w:asciiTheme="majorHAnsi" w:hAnsiTheme="majorHAnsi" w:eastAsiaTheme="majorEastAsia" w:cstheme="majorBidi"/>
      <w:color w:val="17365d" w:themeColor="text2" w:themeShade="BF"/>
      <w:spacing w:val="5"/>
      <w:sz w:val="52"/>
      <w:szCs w:val="52"/>
    </w:rPr>
  </w:style>
  <w:style w:type="paragraph" w:styleId="991">
    <w:name w:val="Subtitle"/>
    <w:link w:val="992"/>
    <w:uiPriority w:val="11"/>
    <w:qFormat/>
    <w:pPr>
      <w:numPr>
        <w:ilvl w:val="1"/>
      </w:numPr>
      <w:pBdr/>
      <w:spacing/>
      <w:ind/>
    </w:pPr>
    <w:rPr>
      <w:rFonts w:asciiTheme="majorHAnsi" w:hAnsiTheme="majorHAnsi" w:eastAsiaTheme="majorEastAsia" w:cstheme="majorBidi"/>
      <w:i/>
      <w:iCs/>
      <w:color w:val="4f81bd" w:themeColor="accent1"/>
      <w:spacing w:val="15"/>
      <w:sz w:val="24"/>
      <w:szCs w:val="24"/>
    </w:rPr>
  </w:style>
  <w:style w:type="character" w:styleId="992" w:customStyle="1">
    <w:name w:val="Subtitle Char"/>
    <w:basedOn w:val="982"/>
    <w:link w:val="991"/>
    <w:uiPriority w:val="11"/>
    <w:pPr>
      <w:pBdr/>
      <w:spacing/>
      <w:ind/>
    </w:pPr>
    <w:rPr>
      <w:rFonts w:asciiTheme="majorHAnsi" w:hAnsiTheme="majorHAnsi" w:eastAsiaTheme="majorEastAsia" w:cstheme="majorBidi"/>
      <w:i/>
      <w:iCs/>
      <w:color w:val="4f81bd" w:themeColor="accent1"/>
      <w:spacing w:val="15"/>
      <w:sz w:val="24"/>
      <w:szCs w:val="24"/>
    </w:rPr>
  </w:style>
  <w:style w:type="paragraph" w:styleId="993">
    <w:name w:val="List Paragraph"/>
    <w:uiPriority w:val="34"/>
    <w:qFormat/>
    <w:pPr>
      <w:pBdr/>
      <w:spacing/>
      <w:ind w:left="720"/>
      <w:contextualSpacing w:val="true"/>
    </w:pPr>
  </w:style>
  <w:style w:type="paragraph" w:styleId="994">
    <w:name w:val="Body Text"/>
    <w:link w:val="995"/>
    <w:uiPriority w:val="99"/>
    <w:unhideWhenUsed/>
    <w:pPr>
      <w:pBdr/>
      <w:spacing w:after="120"/>
      <w:ind/>
    </w:pPr>
  </w:style>
  <w:style w:type="character" w:styleId="995" w:customStyle="1">
    <w:name w:val="Body Text Char"/>
    <w:basedOn w:val="982"/>
    <w:link w:val="994"/>
    <w:uiPriority w:val="99"/>
    <w:pPr>
      <w:pBdr/>
      <w:spacing/>
      <w:ind/>
    </w:pPr>
  </w:style>
  <w:style w:type="paragraph" w:styleId="996">
    <w:name w:val="Body Text 2"/>
    <w:link w:val="997"/>
    <w:uiPriority w:val="99"/>
    <w:unhideWhenUsed/>
    <w:pPr>
      <w:pBdr/>
      <w:spacing w:after="120" w:line="480" w:lineRule="auto"/>
      <w:ind/>
    </w:pPr>
  </w:style>
  <w:style w:type="character" w:styleId="997" w:customStyle="1">
    <w:name w:val="Body Text 2 Char"/>
    <w:basedOn w:val="982"/>
    <w:link w:val="996"/>
    <w:uiPriority w:val="99"/>
    <w:pPr>
      <w:pBdr/>
      <w:spacing/>
      <w:ind/>
    </w:pPr>
  </w:style>
  <w:style w:type="paragraph" w:styleId="998">
    <w:name w:val="Body Text 3"/>
    <w:link w:val="999"/>
    <w:uiPriority w:val="99"/>
    <w:unhideWhenUsed/>
    <w:pPr>
      <w:pBdr/>
      <w:spacing w:after="120"/>
      <w:ind/>
    </w:pPr>
    <w:rPr>
      <w:sz w:val="16"/>
      <w:szCs w:val="16"/>
    </w:rPr>
  </w:style>
  <w:style w:type="character" w:styleId="999" w:customStyle="1">
    <w:name w:val="Body Text 3 Char"/>
    <w:basedOn w:val="982"/>
    <w:link w:val="998"/>
    <w:uiPriority w:val="99"/>
    <w:pPr>
      <w:pBdr/>
      <w:spacing/>
      <w:ind/>
    </w:pPr>
    <w:rPr>
      <w:sz w:val="16"/>
      <w:szCs w:val="16"/>
    </w:rPr>
  </w:style>
  <w:style w:type="paragraph" w:styleId="1000">
    <w:name w:val="List"/>
    <w:uiPriority w:val="99"/>
    <w:unhideWhenUsed/>
    <w:pPr>
      <w:pBdr/>
      <w:spacing/>
      <w:ind w:hanging="360" w:left="360"/>
      <w:contextualSpacing w:val="true"/>
    </w:pPr>
  </w:style>
  <w:style w:type="paragraph" w:styleId="1001">
    <w:name w:val="List 2"/>
    <w:uiPriority w:val="99"/>
    <w:unhideWhenUsed/>
    <w:pPr>
      <w:pBdr/>
      <w:spacing/>
      <w:ind w:hanging="360" w:left="720"/>
      <w:contextualSpacing w:val="true"/>
    </w:pPr>
  </w:style>
  <w:style w:type="paragraph" w:styleId="1002">
    <w:name w:val="List 3"/>
    <w:uiPriority w:val="99"/>
    <w:unhideWhenUsed/>
    <w:pPr>
      <w:pBdr/>
      <w:spacing/>
      <w:ind w:hanging="360" w:left="1080"/>
      <w:contextualSpacing w:val="true"/>
    </w:pPr>
  </w:style>
  <w:style w:type="paragraph" w:styleId="1003">
    <w:name w:val="List Bullet"/>
    <w:uiPriority w:val="99"/>
    <w:unhideWhenUsed/>
    <w:pPr>
      <w:numPr>
        <w:numId w:val="1"/>
      </w:numPr>
      <w:pBdr/>
      <w:spacing/>
      <w:ind/>
      <w:contextualSpacing w:val="true"/>
    </w:pPr>
  </w:style>
  <w:style w:type="paragraph" w:styleId="1004">
    <w:name w:val="List Bullet 2"/>
    <w:uiPriority w:val="99"/>
    <w:unhideWhenUsed/>
    <w:pPr>
      <w:numPr>
        <w:numId w:val="2"/>
      </w:numPr>
      <w:pBdr/>
      <w:spacing/>
      <w:ind/>
      <w:contextualSpacing w:val="true"/>
    </w:pPr>
  </w:style>
  <w:style w:type="paragraph" w:styleId="1005">
    <w:name w:val="List Bullet 3"/>
    <w:uiPriority w:val="99"/>
    <w:unhideWhenUsed/>
    <w:pPr>
      <w:numPr>
        <w:numId w:val="3"/>
      </w:numPr>
      <w:pBdr/>
      <w:spacing/>
      <w:ind/>
      <w:contextualSpacing w:val="true"/>
    </w:pPr>
  </w:style>
  <w:style w:type="paragraph" w:styleId="1006">
    <w:name w:val="List Number"/>
    <w:uiPriority w:val="99"/>
    <w:unhideWhenUsed/>
    <w:pPr>
      <w:numPr>
        <w:numId w:val="5"/>
      </w:numPr>
      <w:pBdr/>
      <w:spacing/>
      <w:ind/>
      <w:contextualSpacing w:val="true"/>
    </w:pPr>
  </w:style>
  <w:style w:type="paragraph" w:styleId="1007">
    <w:name w:val="List Number 2"/>
    <w:uiPriority w:val="99"/>
    <w:unhideWhenUsed/>
    <w:pPr>
      <w:numPr>
        <w:numId w:val="6"/>
      </w:numPr>
      <w:pBdr/>
      <w:spacing/>
      <w:ind/>
      <w:contextualSpacing w:val="true"/>
    </w:pPr>
  </w:style>
  <w:style w:type="paragraph" w:styleId="1008">
    <w:name w:val="List Number 3"/>
    <w:uiPriority w:val="99"/>
    <w:unhideWhenUsed/>
    <w:pPr>
      <w:numPr>
        <w:numId w:val="7"/>
      </w:numPr>
      <w:pBdr/>
      <w:spacing/>
      <w:ind/>
      <w:contextualSpacing w:val="true"/>
    </w:pPr>
  </w:style>
  <w:style w:type="paragraph" w:styleId="1009">
    <w:name w:val="List Continue"/>
    <w:uiPriority w:val="99"/>
    <w:unhideWhenUsed/>
    <w:pPr>
      <w:pBdr/>
      <w:spacing w:after="120"/>
      <w:ind w:left="360"/>
      <w:contextualSpacing w:val="true"/>
    </w:pPr>
  </w:style>
  <w:style w:type="paragraph" w:styleId="1010">
    <w:name w:val="List Continue 2"/>
    <w:uiPriority w:val="99"/>
    <w:unhideWhenUsed/>
    <w:pPr>
      <w:pBdr/>
      <w:spacing w:after="120"/>
      <w:ind w:left="720"/>
      <w:contextualSpacing w:val="true"/>
    </w:pPr>
  </w:style>
  <w:style w:type="paragraph" w:styleId="1011">
    <w:name w:val="List Continue 3"/>
    <w:uiPriority w:val="99"/>
    <w:unhideWhenUsed/>
    <w:pPr>
      <w:pBdr/>
      <w:spacing w:after="120"/>
      <w:ind w:left="1080"/>
      <w:contextualSpacing w:val="true"/>
    </w:pPr>
  </w:style>
  <w:style w:type="paragraph" w:styleId="1012">
    <w:name w:val="macro"/>
    <w:link w:val="1013"/>
    <w:uiPriority w:val="99"/>
    <w:unhideWhenUsed/>
    <w:pPr>
      <w:pBdr/>
      <w:tabs>
        <w:tab w:val="left" w:leader="none" w:pos="576"/>
        <w:tab w:val="left" w:leader="none" w:pos="1152"/>
        <w:tab w:val="left" w:leader="none" w:pos="1728"/>
        <w:tab w:val="left" w:leader="none" w:pos="2304"/>
        <w:tab w:val="left" w:leader="none" w:pos="2880"/>
        <w:tab w:val="left" w:leader="none" w:pos="3456"/>
        <w:tab w:val="left" w:leader="none" w:pos="4032"/>
      </w:tabs>
      <w:spacing/>
      <w:ind/>
    </w:pPr>
    <w:rPr>
      <w:rFonts w:ascii="Courier" w:hAnsi="Courier"/>
      <w:sz w:val="20"/>
      <w:szCs w:val="20"/>
    </w:rPr>
  </w:style>
  <w:style w:type="character" w:styleId="1013" w:customStyle="1">
    <w:name w:val="Macro Text Char"/>
    <w:basedOn w:val="982"/>
    <w:link w:val="1012"/>
    <w:uiPriority w:val="99"/>
    <w:pPr>
      <w:pBdr/>
      <w:spacing/>
      <w:ind/>
    </w:pPr>
    <w:rPr>
      <w:rFonts w:ascii="Courier" w:hAnsi="Courier"/>
      <w:sz w:val="20"/>
      <w:szCs w:val="20"/>
    </w:rPr>
  </w:style>
  <w:style w:type="paragraph" w:styleId="1014">
    <w:name w:val="Quote"/>
    <w:link w:val="1015"/>
    <w:uiPriority w:val="29"/>
    <w:qFormat/>
    <w:pPr>
      <w:pBdr/>
      <w:spacing/>
      <w:ind/>
    </w:pPr>
    <w:rPr>
      <w:i/>
      <w:iCs/>
      <w:color w:val="000000" w:themeColor="text1"/>
    </w:rPr>
  </w:style>
  <w:style w:type="character" w:styleId="1015" w:customStyle="1">
    <w:name w:val="Quote Char"/>
    <w:basedOn w:val="982"/>
    <w:link w:val="1014"/>
    <w:uiPriority w:val="29"/>
    <w:pPr>
      <w:pBdr/>
      <w:spacing/>
      <w:ind/>
    </w:pPr>
    <w:rPr>
      <w:i/>
      <w:iCs/>
      <w:color w:val="000000" w:themeColor="text1"/>
    </w:rPr>
  </w:style>
  <w:style w:type="character" w:styleId="1016" w:customStyle="1">
    <w:name w:val="Heading 4 Char"/>
    <w:basedOn w:val="982"/>
    <w:link w:val="976"/>
    <w:uiPriority w:val="9"/>
    <w:semiHidden/>
    <w:pPr>
      <w:pBdr/>
      <w:spacing/>
      <w:ind/>
    </w:pPr>
    <w:rPr>
      <w:rFonts w:asciiTheme="majorHAnsi" w:hAnsiTheme="majorHAnsi" w:eastAsiaTheme="majorEastAsia" w:cstheme="majorBidi"/>
      <w:b/>
      <w:bCs/>
      <w:i/>
      <w:iCs/>
      <w:color w:val="4f81bd" w:themeColor="accent1"/>
    </w:rPr>
  </w:style>
  <w:style w:type="character" w:styleId="1017" w:customStyle="1">
    <w:name w:val="Heading 5 Char"/>
    <w:basedOn w:val="982"/>
    <w:link w:val="977"/>
    <w:uiPriority w:val="9"/>
    <w:semiHidden/>
    <w:pPr>
      <w:pBdr/>
      <w:spacing/>
      <w:ind/>
    </w:pPr>
    <w:rPr>
      <w:rFonts w:asciiTheme="majorHAnsi" w:hAnsiTheme="majorHAnsi" w:eastAsiaTheme="majorEastAsia" w:cstheme="majorBidi"/>
      <w:color w:val="243f60" w:themeColor="accent1" w:themeShade="7F"/>
    </w:rPr>
  </w:style>
  <w:style w:type="character" w:styleId="1018" w:customStyle="1">
    <w:name w:val="Heading 6 Char"/>
    <w:basedOn w:val="982"/>
    <w:link w:val="978"/>
    <w:uiPriority w:val="9"/>
    <w:semiHidden/>
    <w:pPr>
      <w:pBdr/>
      <w:spacing/>
      <w:ind/>
    </w:pPr>
    <w:rPr>
      <w:rFonts w:asciiTheme="majorHAnsi" w:hAnsiTheme="majorHAnsi" w:eastAsiaTheme="majorEastAsia" w:cstheme="majorBidi"/>
      <w:i/>
      <w:iCs/>
      <w:color w:val="243f60" w:themeColor="accent1" w:themeShade="7F"/>
    </w:rPr>
  </w:style>
  <w:style w:type="character" w:styleId="1019" w:customStyle="1">
    <w:name w:val="Heading 7 Char"/>
    <w:basedOn w:val="982"/>
    <w:link w:val="979"/>
    <w:uiPriority w:val="9"/>
    <w:semiHidden/>
    <w:pPr>
      <w:pBdr/>
      <w:spacing/>
      <w:ind/>
    </w:pPr>
    <w:rPr>
      <w:rFonts w:asciiTheme="majorHAnsi" w:hAnsiTheme="majorHAnsi" w:eastAsiaTheme="majorEastAsia" w:cstheme="majorBidi"/>
      <w:i/>
      <w:iCs/>
      <w:color w:val="404040" w:themeColor="text1" w:themeTint="BF"/>
    </w:rPr>
  </w:style>
  <w:style w:type="character" w:styleId="1020" w:customStyle="1">
    <w:name w:val="Heading 8 Char"/>
    <w:basedOn w:val="982"/>
    <w:link w:val="980"/>
    <w:uiPriority w:val="9"/>
    <w:semiHidden/>
    <w:pPr>
      <w:pBdr/>
      <w:spacing/>
      <w:ind/>
    </w:pPr>
    <w:rPr>
      <w:rFonts w:asciiTheme="majorHAnsi" w:hAnsiTheme="majorHAnsi" w:eastAsiaTheme="majorEastAsia" w:cstheme="majorBidi"/>
      <w:color w:val="4f81bd" w:themeColor="accent1"/>
      <w:sz w:val="20"/>
      <w:szCs w:val="20"/>
    </w:rPr>
  </w:style>
  <w:style w:type="character" w:styleId="1021" w:customStyle="1">
    <w:name w:val="Heading 9 Char"/>
    <w:basedOn w:val="982"/>
    <w:link w:val="981"/>
    <w:uiPriority w:val="9"/>
    <w:semiHidden/>
    <w:pPr>
      <w:pBdr/>
      <w:spacing/>
      <w:ind/>
    </w:pPr>
    <w:rPr>
      <w:rFonts w:asciiTheme="majorHAnsi" w:hAnsiTheme="majorHAnsi" w:eastAsiaTheme="majorEastAsia" w:cstheme="majorBidi"/>
      <w:i/>
      <w:iCs/>
      <w:color w:val="404040" w:themeColor="text1" w:themeTint="BF"/>
      <w:sz w:val="20"/>
      <w:szCs w:val="20"/>
    </w:rPr>
  </w:style>
  <w:style w:type="paragraph" w:styleId="1022">
    <w:name w:val="Caption"/>
    <w:uiPriority w:val="35"/>
    <w:semiHidden/>
    <w:unhideWhenUsed/>
    <w:qFormat/>
    <w:pPr>
      <w:pBdr/>
      <w:spacing w:line="240" w:lineRule="auto"/>
      <w:ind/>
    </w:pPr>
    <w:rPr>
      <w:b/>
      <w:bCs/>
      <w:color w:val="4f81bd" w:themeColor="accent1"/>
      <w:sz w:val="18"/>
      <w:szCs w:val="18"/>
    </w:rPr>
  </w:style>
  <w:style w:type="character" w:styleId="1023">
    <w:name w:val="Strong"/>
    <w:basedOn w:val="982"/>
    <w:uiPriority w:val="22"/>
    <w:qFormat/>
    <w:pPr>
      <w:pBdr/>
      <w:spacing/>
      <w:ind/>
    </w:pPr>
    <w:rPr>
      <w:b/>
      <w:bCs/>
    </w:rPr>
  </w:style>
  <w:style w:type="character" w:styleId="1024">
    <w:name w:val="Emphasis"/>
    <w:basedOn w:val="982"/>
    <w:uiPriority w:val="20"/>
    <w:qFormat/>
    <w:pPr>
      <w:pBdr/>
      <w:spacing/>
      <w:ind/>
    </w:pPr>
    <w:rPr>
      <w:i/>
      <w:iCs/>
    </w:rPr>
  </w:style>
  <w:style w:type="paragraph" w:styleId="1025">
    <w:name w:val="Intense Quote"/>
    <w:link w:val="1026"/>
    <w:uiPriority w:val="30"/>
    <w:qFormat/>
    <w:pPr>
      <w:pBdr>
        <w:bottom w:val="single" w:color="4f81bd" w:themeColor="accent1" w:sz="4" w:space="4"/>
      </w:pBdr>
      <w:spacing w:after="280" w:before="200"/>
      <w:ind w:right="936" w:left="936"/>
    </w:pPr>
    <w:rPr>
      <w:b/>
      <w:bCs/>
      <w:i/>
      <w:iCs/>
      <w:color w:val="4f81bd" w:themeColor="accent1"/>
    </w:rPr>
  </w:style>
  <w:style w:type="character" w:styleId="1026" w:customStyle="1">
    <w:name w:val="Intense Quote Char"/>
    <w:basedOn w:val="982"/>
    <w:link w:val="1025"/>
    <w:uiPriority w:val="30"/>
    <w:pPr>
      <w:pBdr/>
      <w:spacing/>
      <w:ind/>
    </w:pPr>
    <w:rPr>
      <w:b/>
      <w:bCs/>
      <w:i/>
      <w:iCs/>
      <w:color w:val="4f81bd" w:themeColor="accent1"/>
    </w:rPr>
  </w:style>
  <w:style w:type="character" w:styleId="1027">
    <w:name w:val="Subtle Emphasis"/>
    <w:basedOn w:val="982"/>
    <w:uiPriority w:val="19"/>
    <w:qFormat/>
    <w:pPr>
      <w:pBdr/>
      <w:spacing/>
      <w:ind/>
    </w:pPr>
    <w:rPr>
      <w:i/>
      <w:iCs/>
      <w:color w:val="808080" w:themeColor="text1" w:themeTint="7F"/>
    </w:rPr>
  </w:style>
  <w:style w:type="character" w:styleId="1028">
    <w:name w:val="Intense Emphasis"/>
    <w:basedOn w:val="982"/>
    <w:uiPriority w:val="21"/>
    <w:qFormat/>
    <w:pPr>
      <w:pBdr/>
      <w:spacing/>
      <w:ind/>
    </w:pPr>
    <w:rPr>
      <w:b/>
      <w:bCs/>
      <w:i/>
      <w:iCs/>
      <w:color w:val="4f81bd" w:themeColor="accent1"/>
    </w:rPr>
  </w:style>
  <w:style w:type="character" w:styleId="1029">
    <w:name w:val="Subtle Reference"/>
    <w:basedOn w:val="982"/>
    <w:uiPriority w:val="31"/>
    <w:qFormat/>
    <w:pPr>
      <w:pBdr/>
      <w:spacing/>
      <w:ind/>
    </w:pPr>
    <w:rPr>
      <w:smallCaps/>
      <w:color w:val="c0504d" w:themeColor="accent2"/>
      <w:u w:val="single"/>
    </w:rPr>
  </w:style>
  <w:style w:type="character" w:styleId="1030">
    <w:name w:val="Intense Reference"/>
    <w:basedOn w:val="982"/>
    <w:uiPriority w:val="32"/>
    <w:qFormat/>
    <w:pPr>
      <w:pBdr/>
      <w:spacing/>
      <w:ind/>
    </w:pPr>
    <w:rPr>
      <w:b/>
      <w:bCs/>
      <w:smallCaps/>
      <w:color w:val="c0504d" w:themeColor="accent2"/>
      <w:spacing w:val="5"/>
      <w:u w:val="single"/>
    </w:rPr>
  </w:style>
  <w:style w:type="character" w:styleId="1031">
    <w:name w:val="Book Title"/>
    <w:basedOn w:val="982"/>
    <w:uiPriority w:val="33"/>
    <w:qFormat/>
    <w:pPr>
      <w:pBdr/>
      <w:spacing/>
      <w:ind/>
    </w:pPr>
    <w:rPr>
      <w:b/>
      <w:bCs/>
      <w:smallCaps/>
      <w:spacing w:val="5"/>
    </w:rPr>
  </w:style>
  <w:style w:type="paragraph" w:styleId="1032">
    <w:name w:val="TOC Heading"/>
    <w:uiPriority w:val="39"/>
    <w:semiHidden/>
    <w:unhideWhenUsed/>
    <w:qFormat/>
    <w:pPr>
      <w:pBdr/>
      <w:spacing/>
      <w:ind/>
      <w:outlineLvl w:val="9"/>
    </w:pPr>
  </w:style>
  <w:style w:type="table" w:styleId="1033">
    <w:name w:val="Table Grid"/>
    <w:basedOn w:val="983"/>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4">
    <w:name w:val="Light Shading"/>
    <w:basedOn w:val="983"/>
    <w:uiPriority w:val="60"/>
    <w:pPr>
      <w:pBdr/>
      <w:spacing w:after="0" w:line="240" w:lineRule="auto"/>
      <w:ind/>
    </w:pPr>
    <w:rPr>
      <w:color w:val="000000" w:themeColor="text1" w:themeShade="BF"/>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left w:val="none" w:color="000000" w:sz="4" w:space="0"/>
          <w:right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5">
    <w:name w:val="Light Shading Accent 1"/>
    <w:basedOn w:val="983"/>
    <w:uiPriority w:val="60"/>
    <w:pPr>
      <w:pBdr/>
      <w:spacing w:after="0" w:line="240" w:lineRule="auto"/>
      <w:ind/>
    </w:pPr>
    <w:rPr>
      <w:color w:val="365f91" w:themeColor="accent1" w:themeShade="BF"/>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6">
    <w:name w:val="Light Shading Accent 2"/>
    <w:basedOn w:val="983"/>
    <w:uiPriority w:val="60"/>
    <w:pPr>
      <w:pBdr/>
      <w:spacing w:after="0" w:line="240" w:lineRule="auto"/>
      <w:ind/>
    </w:pPr>
    <w:rPr>
      <w:color w:val="943634" w:themeColor="accent2" w:themeShade="BF"/>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7">
    <w:name w:val="Light Shading Accent 3"/>
    <w:basedOn w:val="983"/>
    <w:uiPriority w:val="60"/>
    <w:pPr>
      <w:pBdr/>
      <w:spacing w:after="0" w:line="240" w:lineRule="auto"/>
      <w:ind/>
    </w:pPr>
    <w:rPr>
      <w:color w:val="76923c" w:themeColor="accent3" w:themeShade="BF"/>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8">
    <w:name w:val="Light Shading Accent 4"/>
    <w:basedOn w:val="983"/>
    <w:uiPriority w:val="60"/>
    <w:pPr>
      <w:pBdr/>
      <w:spacing w:after="0" w:line="240" w:lineRule="auto"/>
      <w:ind/>
    </w:pPr>
    <w:rPr>
      <w:color w:val="5f497a" w:themeColor="accent4" w:themeShade="BF"/>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9">
    <w:name w:val="Light Shading Accent 5"/>
    <w:basedOn w:val="983"/>
    <w:uiPriority w:val="60"/>
    <w:pPr>
      <w:pBdr/>
      <w:spacing w:after="0" w:line="240" w:lineRule="auto"/>
      <w:ind/>
    </w:pPr>
    <w:rPr>
      <w:color w:val="31849b" w:themeColor="accent5" w:themeShade="BF"/>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0">
    <w:name w:val="Light Shading Accent 6"/>
    <w:basedOn w:val="983"/>
    <w:uiPriority w:val="60"/>
    <w:pPr>
      <w:pBdr/>
      <w:spacing w:after="0" w:line="240" w:lineRule="auto"/>
      <w:ind/>
    </w:pPr>
    <w:rPr>
      <w:color w:val="e36c0a" w:themeColor="accent6" w:themeShade="BF"/>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1">
    <w:name w:val="Light List"/>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2">
    <w:name w:val="Light List Accent 1"/>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3">
    <w:name w:val="Light List Accent 2"/>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4">
    <w:name w:val="Light List Accent 3"/>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5">
    <w:name w:val="Light List Accent 4"/>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6">
    <w:name w:val="Light List Accent 5"/>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7">
    <w:name w:val="Light List Accent 6"/>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8">
    <w:name w:val="Light Grid"/>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tcBorders/>
    </w:tcPr>
    <w:tblStylePr w:type="band1Horz">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8" w:space="0"/>
          <w:left w:val="single" w:color="000000" w:themeColor="text1" w:sz="8" w:space="0"/>
          <w:bottom w:val="single" w:color="000000" w:themeColor="text1" w:sz="18" w:space="0"/>
          <w:right w:val="single" w:color="000000" w:themeColor="tex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9">
    <w:name w:val="Light Grid Accent 1"/>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8" w:space="0"/>
          <w:left w:val="single" w:color="4f81bd" w:themeColor="accent1" w:sz="8" w:space="0"/>
          <w:bottom w:val="single" w:color="4f81bd" w:themeColor="accent1" w:sz="18" w:space="0"/>
          <w:right w:val="single" w:color="4f81bd" w:themeColor="accen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0">
    <w:name w:val="Light Grid Accent 2"/>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8" w:space="0"/>
          <w:left w:val="single" w:color="c0504d" w:themeColor="accent2" w:sz="8" w:space="0"/>
          <w:bottom w:val="single" w:color="c0504d" w:themeColor="accent2" w:sz="18" w:space="0"/>
          <w:right w:val="single" w:color="c0504d" w:themeColor="accent2" w:sz="8" w:space="0"/>
        </w:tcBorders>
      </w:tcPr>
    </w:tblStylePr>
    <w:tblStylePr w:type="lastCol">
      <w:rPr>
        <w:rFonts w:asciiTheme="majorHAnsi" w:hAnsiTheme="majorHAnsi" w:eastAsiaTheme="majorEastAsia" w:cstheme="majorBidi"/>
        <w:b/>
        <w:bCs/>
      </w:rPr>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1">
    <w:name w:val="Light Grid Accent 3"/>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8" w:space="0"/>
          <w:left w:val="single" w:color="9bbb59" w:themeColor="accent3" w:sz="8" w:space="0"/>
          <w:bottom w:val="single" w:color="9bbb59" w:themeColor="accent3" w:sz="18" w:space="0"/>
          <w:right w:val="single" w:color="9bbb59" w:themeColor="accent3" w:sz="8" w:space="0"/>
        </w:tcBorders>
      </w:tcPr>
    </w:tblStylePr>
    <w:tblStylePr w:type="lastCol">
      <w:rPr>
        <w:rFonts w:asciiTheme="majorHAnsi" w:hAnsiTheme="majorHAnsi" w:eastAsiaTheme="majorEastAsia" w:cstheme="majorBidi"/>
        <w:b/>
        <w:bCs/>
      </w:rPr>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2">
    <w:name w:val="Light Grid Accent 4"/>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8" w:space="0"/>
          <w:left w:val="single" w:color="8064a2" w:themeColor="accent4" w:sz="8" w:space="0"/>
          <w:bottom w:val="single" w:color="8064a2" w:themeColor="accent4" w:sz="18" w:space="0"/>
          <w:right w:val="single" w:color="8064a2" w:themeColor="accent4" w:sz="8" w:space="0"/>
        </w:tcBorders>
      </w:tcPr>
    </w:tblStylePr>
    <w:tblStylePr w:type="lastCol">
      <w:rPr>
        <w:rFonts w:asciiTheme="majorHAnsi" w:hAnsiTheme="majorHAnsi" w:eastAsiaTheme="majorEastAsia" w:cstheme="majorBidi"/>
        <w:b/>
        <w:bCs/>
      </w:rPr>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3">
    <w:name w:val="Light Grid Accent 5"/>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8" w:space="0"/>
          <w:left w:val="single" w:color="4bacc6" w:themeColor="accent5" w:sz="8" w:space="0"/>
          <w:bottom w:val="single" w:color="4bacc6" w:themeColor="accent5" w:sz="18" w:space="0"/>
          <w:right w:val="single" w:color="4bacc6" w:themeColor="accent5"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4">
    <w:name w:val="Light Grid Accent 6"/>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8" w:space="0"/>
          <w:left w:val="single" w:color="f79646" w:themeColor="accent6" w:sz="8" w:space="0"/>
          <w:bottom w:val="single" w:color="f79646" w:themeColor="accent6" w:sz="18" w:space="0"/>
          <w:right w:val="single" w:color="f79646" w:themeColor="accent6" w:sz="8" w:space="0"/>
        </w:tcBorders>
      </w:tcPr>
    </w:tblStylePr>
    <w:tblStylePr w:type="lastCol">
      <w:rPr>
        <w:rFonts w:asciiTheme="majorHAnsi" w:hAnsiTheme="majorHAnsi" w:eastAsiaTheme="majorEastAsia" w:cstheme="majorBidi"/>
        <w:b/>
        <w:bCs/>
      </w:rPr>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5">
    <w:name w:val="Medium Shading 1"/>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6">
    <w:name w:val="Medium Shading 1 Accent 1"/>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7">
    <w:name w:val="Medium Shading 1 Accent 2"/>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8">
    <w:name w:val="Medium Shading 1 Accent 3"/>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9">
    <w:name w:val="Medium Shading 1 Accent 4"/>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0">
    <w:name w:val="Medium Shading 1 Accent 5"/>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1">
    <w:name w:val="Medium Shading 1 Accent 6"/>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2">
    <w:name w:val="Medium Shading 2"/>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000000" w:themeFill="tex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000000" w:themeFill="tex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3">
    <w:name w:val="Medium Shading 2 Accent 1"/>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f81bd" w:themeFill="accen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f81bd" w:themeFill="accen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4">
    <w:name w:val="Medium Shading 2 Accent 2"/>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c0504d" w:themeFill="accent2"/>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c0504d" w:themeFill="accent2"/>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5">
    <w:name w:val="Medium Shading 2 Accent 3"/>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9bbb59" w:themeFill="accent3"/>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9bbb59" w:themeFill="accent3"/>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6">
    <w:name w:val="Medium Shading 2 Accent 4"/>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8064a2" w:themeFill="accent4"/>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8064a2" w:themeFill="accent4"/>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7">
    <w:name w:val="Medium Shading 2 Accent 5"/>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bacc6" w:themeFill="accent5"/>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bacc6" w:themeFill="accent5"/>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8">
    <w:name w:val="Medium Shading 2 Accent 6"/>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f79646" w:themeFill="accent6"/>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f79646" w:themeFill="accent6"/>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9">
    <w:name w:val="Medium List 1"/>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000000" w:themeColor="text1" w:sz="8" w:space="0"/>
        </w:tcBorders>
      </w:tcPr>
    </w:tblStylePr>
    <w:tblStylePr w:type="lastCol">
      <w:rPr>
        <w:b/>
        <w:bCs/>
      </w:rPr>
      <w:pPr>
        <w:pBdr/>
        <w:spacing/>
        <w:ind/>
      </w:pPr>
      <w:tblPr>
        <w:tblBorders/>
      </w:tblPr>
      <w:tcPr>
        <w:tcBorders>
          <w:top w:val="single" w:color="000000" w:themeColor="text1" w:sz="8" w:space="0"/>
          <w:bottom w:val="single" w:color="000000" w:themeColor="text1" w:sz="8" w:space="0"/>
        </w:tcBorders>
      </w:tcPr>
    </w:tblStylePr>
    <w:tblStylePr w:type="lastRow">
      <w:rPr>
        <w:b/>
        <w:bCs/>
        <w:color w:val="1f497d" w:themeColor="text2"/>
      </w:rPr>
      <w:pPr>
        <w:pBdr/>
        <w:spacing/>
        <w:ind/>
      </w:pPr>
      <w:tblPr>
        <w:tblBorders/>
      </w:tblPr>
      <w:tcPr>
        <w:tcBorders>
          <w:top w:val="single" w:color="000000" w:themeColor="text1" w:sz="8" w:space="0"/>
          <w:bottom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0">
    <w:name w:val="Medium List 1 Accent 1"/>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f81bd" w:themeColor="accent1" w:sz="8" w:space="0"/>
        </w:tcBorders>
      </w:tcPr>
    </w:tblStylePr>
    <w:tblStylePr w:type="lastCol">
      <w:rPr>
        <w:b/>
        <w:bCs/>
      </w:rPr>
      <w:pPr>
        <w:pBdr/>
        <w:spacing/>
        <w:ind/>
      </w:pPr>
      <w:tblPr>
        <w:tblBorders/>
      </w:tblPr>
      <w:tcPr>
        <w:tcBorders>
          <w:top w:val="single" w:color="4f81bd" w:themeColor="accent1" w:sz="8" w:space="0"/>
          <w:bottom w:val="single" w:color="4f81bd" w:themeColor="accent1" w:sz="8" w:space="0"/>
        </w:tcBorders>
      </w:tcPr>
    </w:tblStylePr>
    <w:tblStylePr w:type="lastRow">
      <w:rPr>
        <w:b/>
        <w:bCs/>
        <w:color w:val="1f497d" w:themeColor="text2"/>
      </w:rPr>
      <w:pPr>
        <w:pBdr/>
        <w:spacing/>
        <w:ind/>
      </w:pPr>
      <w:tblPr>
        <w:tblBorders/>
      </w:tblPr>
      <w:tcPr>
        <w:tcBorders>
          <w:top w:val="single" w:color="4f81bd" w:themeColor="accent1" w:sz="8" w:space="0"/>
          <w:bottom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1">
    <w:name w:val="Medium List 1 Accent 2"/>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c0504d" w:themeColor="accent2" w:sz="8" w:space="0"/>
        </w:tcBorders>
      </w:tcPr>
    </w:tblStylePr>
    <w:tblStylePr w:type="lastCol">
      <w:rPr>
        <w:b/>
        <w:bCs/>
      </w:rPr>
      <w:pPr>
        <w:pBdr/>
        <w:spacing/>
        <w:ind/>
      </w:pPr>
      <w:tblPr>
        <w:tblBorders/>
      </w:tblPr>
      <w:tcPr>
        <w:tcBorders>
          <w:top w:val="single" w:color="c0504d" w:themeColor="accent2" w:sz="8" w:space="0"/>
          <w:bottom w:val="single" w:color="c0504d" w:themeColor="accent2" w:sz="8" w:space="0"/>
        </w:tcBorders>
      </w:tcPr>
    </w:tblStylePr>
    <w:tblStylePr w:type="lastRow">
      <w:rPr>
        <w:b/>
        <w:bCs/>
        <w:color w:val="1f497d" w:themeColor="text2"/>
      </w:rPr>
      <w:pPr>
        <w:pBdr/>
        <w:spacing/>
        <w:ind/>
      </w:pPr>
      <w:tblPr>
        <w:tblBorders/>
      </w:tblPr>
      <w:tcPr>
        <w:tcBorders>
          <w:top w:val="single" w:color="c0504d" w:themeColor="accent2" w:sz="8" w:space="0"/>
          <w:bottom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2">
    <w:name w:val="Medium List 1 Accent 3"/>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9bbb59" w:themeColor="accent3" w:sz="8" w:space="0"/>
        </w:tcBorders>
      </w:tcPr>
    </w:tblStylePr>
    <w:tblStylePr w:type="lastCol">
      <w:rPr>
        <w:b/>
        <w:bCs/>
      </w:rPr>
      <w:pPr>
        <w:pBdr/>
        <w:spacing/>
        <w:ind/>
      </w:pPr>
      <w:tblPr>
        <w:tblBorders/>
      </w:tblPr>
      <w:tcPr>
        <w:tcBorders>
          <w:top w:val="single" w:color="9bbb59" w:themeColor="accent3" w:sz="8" w:space="0"/>
          <w:bottom w:val="single" w:color="9bbb59" w:themeColor="accent3" w:sz="8" w:space="0"/>
        </w:tcBorders>
      </w:tcPr>
    </w:tblStylePr>
    <w:tblStylePr w:type="lastRow">
      <w:rPr>
        <w:b/>
        <w:bCs/>
        <w:color w:val="1f497d" w:themeColor="text2"/>
      </w:rPr>
      <w:pPr>
        <w:pBdr/>
        <w:spacing/>
        <w:ind/>
      </w:pPr>
      <w:tblPr>
        <w:tblBorders/>
      </w:tblPr>
      <w:tcPr>
        <w:tcBorders>
          <w:top w:val="single" w:color="9bbb59" w:themeColor="accent3" w:sz="8" w:space="0"/>
          <w:bottom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3">
    <w:name w:val="Medium List 1 Accent 4"/>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8064a2" w:themeColor="accent4" w:sz="8" w:space="0"/>
        </w:tcBorders>
      </w:tcPr>
    </w:tblStylePr>
    <w:tblStylePr w:type="lastCol">
      <w:rPr>
        <w:b/>
        <w:bCs/>
      </w:rPr>
      <w:pPr>
        <w:pBdr/>
        <w:spacing/>
        <w:ind/>
      </w:pPr>
      <w:tblPr>
        <w:tblBorders/>
      </w:tblPr>
      <w:tcPr>
        <w:tcBorders>
          <w:top w:val="single" w:color="8064a2" w:themeColor="accent4" w:sz="8" w:space="0"/>
          <w:bottom w:val="single" w:color="8064a2" w:themeColor="accent4" w:sz="8" w:space="0"/>
        </w:tcBorders>
      </w:tcPr>
    </w:tblStylePr>
    <w:tblStylePr w:type="lastRow">
      <w:rPr>
        <w:b/>
        <w:bCs/>
        <w:color w:val="1f497d" w:themeColor="text2"/>
      </w:rPr>
      <w:pPr>
        <w:pBdr/>
        <w:spacing/>
        <w:ind/>
      </w:pPr>
      <w:tblPr>
        <w:tblBorders/>
      </w:tblPr>
      <w:tcPr>
        <w:tcBorders>
          <w:top w:val="single" w:color="8064a2" w:themeColor="accent4" w:sz="8" w:space="0"/>
          <w:bottom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4">
    <w:name w:val="Medium List 1 Accent 5"/>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bacc6" w:themeColor="accent5" w:sz="8" w:space="0"/>
        </w:tcBorders>
      </w:tcPr>
    </w:tblStylePr>
    <w:tblStylePr w:type="lastCol">
      <w:rPr>
        <w:b/>
        <w:bCs/>
      </w:rPr>
      <w:pPr>
        <w:pBdr/>
        <w:spacing/>
        <w:ind/>
      </w:pPr>
      <w:tblPr>
        <w:tblBorders/>
      </w:tblPr>
      <w:tcPr>
        <w:tcBorders>
          <w:top w:val="single" w:color="4bacc6" w:themeColor="accent5" w:sz="8" w:space="0"/>
          <w:bottom w:val="single" w:color="4bacc6" w:themeColor="accent5" w:sz="8" w:space="0"/>
        </w:tcBorders>
      </w:tcPr>
    </w:tblStylePr>
    <w:tblStylePr w:type="lastRow">
      <w:rPr>
        <w:b/>
        <w:bCs/>
        <w:color w:val="1f497d" w:themeColor="text2"/>
      </w:rPr>
      <w:pPr>
        <w:pBdr/>
        <w:spacing/>
        <w:ind/>
      </w:pPr>
      <w:tblPr>
        <w:tblBorders/>
      </w:tblPr>
      <w:tcPr>
        <w:tcBorders>
          <w:top w:val="single" w:color="4bacc6" w:themeColor="accent5" w:sz="8" w:space="0"/>
          <w:bottom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5">
    <w:name w:val="Medium List 1 Accent 6"/>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f79646" w:themeColor="accent6" w:sz="8" w:space="0"/>
        </w:tcBorders>
      </w:tcPr>
    </w:tblStylePr>
    <w:tblStylePr w:type="lastCol">
      <w:rPr>
        <w:b/>
        <w:bCs/>
      </w:rPr>
      <w:pPr>
        <w:pBdr/>
        <w:spacing/>
        <w:ind/>
      </w:pPr>
      <w:tblPr>
        <w:tblBorders/>
      </w:tblPr>
      <w:tcPr>
        <w:tcBorders>
          <w:top w:val="single" w:color="f79646" w:themeColor="accent6" w:sz="8" w:space="0"/>
          <w:bottom w:val="single" w:color="f79646" w:themeColor="accent6" w:sz="8" w:space="0"/>
        </w:tcBorders>
      </w:tcPr>
    </w:tblStylePr>
    <w:tblStylePr w:type="lastRow">
      <w:rPr>
        <w:b/>
        <w:bCs/>
        <w:color w:val="1f497d" w:themeColor="text2"/>
      </w:rPr>
      <w:pPr>
        <w:pBdr/>
        <w:spacing/>
        <w:ind/>
      </w:pPr>
      <w:tblPr>
        <w:tblBorders/>
      </w:tblPr>
      <w:tcPr>
        <w:tcBorders>
          <w:top w:val="single" w:color="f79646" w:themeColor="accent6" w:sz="8" w:space="0"/>
          <w:bottom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6">
    <w:name w:val="Medium List 2"/>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shd w:val="clear" w:color="auto" w:fill="c0c0c0" w:themeFill="text1" w:themeFillTint="3F"/>
        <w:tcBorders>
          <w:top w:val="none" w:color="000000" w:sz="4" w:space="0"/>
          <w:bottom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000000" w:themeColor="tex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000000" w:themeColor="tex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000000" w:themeColor="tex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000000" w:themeColor="tex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7">
    <w:name w:val="Medium List 2 Accent 1"/>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none" w:color="000000" w:sz="4" w:space="0"/>
          <w:bottom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f81bd" w:themeColor="accen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f81bd" w:themeColor="accen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f81bd" w:themeColor="accen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f81bd" w:themeColor="accen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8">
    <w:name w:val="Medium List 2 Accent 2"/>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none" w:color="000000" w:sz="4" w:space="0"/>
          <w:bottom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c0504d" w:themeColor="accent2"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c0504d" w:themeColor="accent2"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c0504d" w:themeColor="accent2"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9">
    <w:name w:val="Medium List 2 Accent 3"/>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none" w:color="000000" w:sz="4" w:space="0"/>
          <w:bottom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9bbb59" w:themeColor="accent3"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9bbb59" w:themeColor="accent3"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9bbb59" w:themeColor="accent3"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0">
    <w:name w:val="Medium List 2 Accent 4"/>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none" w:color="000000" w:sz="4" w:space="0"/>
          <w:bottom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8064a2" w:themeColor="accent4"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8064a2" w:themeColor="accent4"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8064a2" w:themeColor="accent4"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1">
    <w:name w:val="Medium List 2 Accent 5"/>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none" w:color="000000" w:sz="4" w:space="0"/>
          <w:bottom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bacc6" w:themeColor="accent5"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bacc6" w:themeColor="accent5"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bacc6" w:themeColor="accent5"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2">
    <w:name w:val="Medium List 2 Accent 6"/>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none" w:color="000000" w:sz="4" w:space="0"/>
          <w:bottom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f79646" w:themeColor="accent6"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f79646" w:themeColor="accent6"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f79646" w:themeColor="accent6"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3">
    <w:name w:val="Medium Grid 1"/>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404040" w:themeColor="tex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4">
    <w:name w:val="Medium Grid 1 Accent 1"/>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ba0cd" w:themeColor="accen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5">
    <w:name w:val="Medium Grid 1 Accent 2"/>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cf7b79" w:themeColor="accent2"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6">
    <w:name w:val="Medium Grid 1 Accent 3"/>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b3cc82" w:themeColor="accent3"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7">
    <w:name w:val="Medium Grid 1 Accent 4"/>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9f8ab9" w:themeColor="accent4"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8">
    <w:name w:val="Medium Grid 1 Accent 5"/>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8c0d4" w:themeColor="accent5"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9">
    <w:name w:val="Medium Grid 1 Accent 6"/>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f9b074" w:themeColor="accent6"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0">
    <w:name w:val="Medium Grid 2"/>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6e6e6" w:themeFill="text1" w:themeFillTint="19"/>
        <w:tcBorders/>
      </w:tcPr>
    </w:tblStylePr>
    <w:tblStylePr w:type="lastCol">
      <w:rPr>
        <w:b w:val="0"/>
        <w:bCs w:val="0"/>
        <w:color w:val="000000" w:themeColor="text1"/>
      </w:rPr>
      <w:pPr>
        <w:pBdr/>
        <w:spacing/>
        <w:ind/>
      </w:pPr>
      <w:tblPr>
        <w:tblBorders/>
      </w:tblPr>
      <w:tcPr>
        <w:shd w:val="clear" w:color="auto" w:fill="cccccc" w:themeFill="tex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1">
    <w:name w:val="Medium Grid 2 Accent 1"/>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2f8" w:themeFill="accent1" w:themeFillTint="19"/>
        <w:tcBorders/>
      </w:tcPr>
    </w:tblStylePr>
    <w:tblStylePr w:type="lastCol">
      <w:rPr>
        <w:b w:val="0"/>
        <w:bCs w:val="0"/>
        <w:color w:val="000000" w:themeColor="text1"/>
      </w:rPr>
      <w:pPr>
        <w:pBdr/>
        <w:spacing/>
        <w:ind/>
      </w:pPr>
      <w:tblPr>
        <w:tblBorders/>
      </w:tblPr>
      <w:tcPr>
        <w:shd w:val="clear" w:color="auto" w:fill="dbe5f1" w:themeFill="accen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2">
    <w:name w:val="Medium Grid 2 Accent 2"/>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8eded" w:themeFill="accent2" w:themeFillTint="19"/>
        <w:tcBorders/>
      </w:tcPr>
    </w:tblStylePr>
    <w:tblStylePr w:type="lastCol">
      <w:rPr>
        <w:b w:val="0"/>
        <w:bCs w:val="0"/>
        <w:color w:val="000000" w:themeColor="text1"/>
      </w:rPr>
      <w:pPr>
        <w:pBdr/>
        <w:spacing/>
        <w:ind/>
      </w:pPr>
      <w:tblPr>
        <w:tblBorders/>
      </w:tblPr>
      <w:tcPr>
        <w:shd w:val="clear" w:color="auto" w:fill="f2dbdb" w:themeFill="accent2"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3">
    <w:name w:val="Medium Grid 2 Accent 3"/>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5f8ee" w:themeFill="accent3" w:themeFillTint="19"/>
        <w:tcBorders/>
      </w:tcPr>
    </w:tblStylePr>
    <w:tblStylePr w:type="lastCol">
      <w:rPr>
        <w:b w:val="0"/>
        <w:bCs w:val="0"/>
        <w:color w:val="000000" w:themeColor="text1"/>
      </w:rPr>
      <w:pPr>
        <w:pBdr/>
        <w:spacing/>
        <w:ind/>
      </w:pPr>
      <w:tblPr>
        <w:tblBorders/>
      </w:tblPr>
      <w:tcPr>
        <w:shd w:val="clear" w:color="auto" w:fill="eaf1dd" w:themeFill="accent3"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4">
    <w:name w:val="Medium Grid 2 Accent 4"/>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2eff6" w:themeFill="accent4" w:themeFillTint="19"/>
        <w:tcBorders/>
      </w:tcPr>
    </w:tblStylePr>
    <w:tblStylePr w:type="lastCol">
      <w:rPr>
        <w:b w:val="0"/>
        <w:bCs w:val="0"/>
        <w:color w:val="000000" w:themeColor="text1"/>
      </w:rPr>
      <w:pPr>
        <w:pBdr/>
        <w:spacing/>
        <w:ind/>
      </w:pPr>
      <w:tblPr>
        <w:tblBorders/>
      </w:tblPr>
      <w:tcPr>
        <w:shd w:val="clear" w:color="auto" w:fill="e5dfec" w:themeFill="accent4"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5">
    <w:name w:val="Medium Grid 2 Accent 5"/>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6f9" w:themeFill="accent5" w:themeFillTint="19"/>
        <w:tcBorders/>
      </w:tcPr>
    </w:tblStylePr>
    <w:tblStylePr w:type="lastCol">
      <w:rPr>
        <w:b w:val="0"/>
        <w:bCs w:val="0"/>
        <w:color w:val="000000" w:themeColor="text1"/>
      </w:rPr>
      <w:pPr>
        <w:pBdr/>
        <w:spacing/>
        <w:ind/>
      </w:pPr>
      <w:tblPr>
        <w:tblBorders/>
      </w:tblPr>
      <w:tcPr>
        <w:shd w:val="clear" w:color="auto" w:fill="daeef3" w:themeFill="accent5"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6">
    <w:name w:val="Medium Grid 2 Accent 6"/>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ef4ec" w:themeFill="accent6" w:themeFillTint="19"/>
        <w:tcBorders/>
      </w:tcPr>
    </w:tblStylePr>
    <w:tblStylePr w:type="lastCol">
      <w:rPr>
        <w:b w:val="0"/>
        <w:bCs w:val="0"/>
        <w:color w:val="000000" w:themeColor="text1"/>
      </w:rPr>
      <w:pPr>
        <w:pBdr/>
        <w:spacing/>
        <w:ind/>
      </w:pPr>
      <w:tblPr>
        <w:tblBorders/>
      </w:tblPr>
      <w:tcPr>
        <w:shd w:val="clear" w:color="auto" w:fill="fde9d9" w:themeFill="accent6"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7">
    <w:name w:val="Medium Grid 3"/>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000000" w:themeFill="tex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000000" w:themeFill="tex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000000" w:themeFill="tex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000000" w:themeFill="tex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8">
    <w:name w:val="Medium Grid 3 Accent 1"/>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f81bd" w:themeFill="accen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f81bd" w:themeFill="accen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f81bd" w:themeFill="accen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f81bd" w:themeFill="accen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9">
    <w:name w:val="Medium Grid 3 Accent 2"/>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c0504d" w:themeFill="accent2"/>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c0504d" w:themeFill="accent2"/>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c0504d" w:themeFill="accent2"/>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c0504d" w:themeFill="accent2"/>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0">
    <w:name w:val="Medium Grid 3 Accent 3"/>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9bbb59" w:themeFill="accent3"/>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9bbb59" w:themeFill="accent3"/>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9bbb59" w:themeFill="accent3"/>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9bbb59" w:themeFill="accent3"/>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1">
    <w:name w:val="Medium Grid 3 Accent 4"/>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8064a2" w:themeFill="accent4"/>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8064a2" w:themeFill="accent4"/>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8064a2" w:themeFill="accent4"/>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8064a2" w:themeFill="accent4"/>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2">
    <w:name w:val="Medium Grid 3 Accent 5"/>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bacc6" w:themeFill="accent5"/>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bacc6" w:themeFill="accent5"/>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bacc6" w:themeFill="accent5"/>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bacc6" w:themeFill="accent5"/>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3">
    <w:name w:val="Medium Grid 3 Accent 6"/>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f79646" w:themeFill="accent6"/>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f79646" w:themeFill="accent6"/>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f79646" w:themeFill="accent6"/>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f79646" w:themeFill="accent6"/>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4">
    <w:name w:val="Dark List"/>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000000" w:themeFill="text1"/>
      <w:tcBorders/>
    </w:tcPr>
    <w:tblStylePr w:type="band1Horz">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000000" w:themeFill="tex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000000" w:themeFill="tex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5">
    <w:name w:val="Dark List Accent 1"/>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f81bd" w:themeFill="accent1"/>
      <w:tcBorders/>
    </w:tcPr>
    <w:tblStylePr w:type="band1Horz">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65f91" w:themeFill="accen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43f60" w:themeFill="accen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6">
    <w:name w:val="Dark List Accent 2"/>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c0504d" w:themeFill="accent2"/>
      <w:tcBorders/>
    </w:tcPr>
    <w:tblStylePr w:type="band1Horz">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943634" w:themeFill="accent2"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622423" w:themeFill="accent2"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7">
    <w:name w:val="Dark List Accent 3"/>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9bbb59" w:themeFill="accent3"/>
      <w:tcBorders/>
    </w:tcPr>
    <w:tblStylePr w:type="band1Horz">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76923c" w:themeFill="accent3"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4e6128" w:themeFill="accent3"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8">
    <w:name w:val="Dark List Accent 4"/>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8064a2" w:themeFill="accent4"/>
      <w:tcBorders/>
    </w:tcPr>
    <w:tblStylePr w:type="band1Horz">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5f497a" w:themeFill="accent4"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3f3151" w:themeFill="accent4"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9">
    <w:name w:val="Dark List Accent 5"/>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bacc6" w:themeFill="accent5"/>
      <w:tcBorders/>
    </w:tcPr>
    <w:tblStylePr w:type="band1Horz">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1849b" w:themeFill="accent5"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05867" w:themeFill="accent5"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0">
    <w:name w:val="Dark List Accent 6"/>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f79646" w:themeFill="accent6"/>
      <w:tcBorders/>
    </w:tcPr>
    <w:tblStylePr w:type="band1Horz">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e36c0a" w:themeFill="accent6"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974706" w:themeFill="accent6"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1">
    <w:name w:val="Colorful Shading"/>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999999" w:themeFill="tex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000000" w:themeFill="tex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2">
    <w:name w:val="Colorful Shading Accent 1"/>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b8cce4" w:themeFill="accen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c4c74" w:themeFill="accen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3">
    <w:name w:val="Colorful Shading Accent 2"/>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e5b8b7" w:themeFill="accent2"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772c2a" w:themeFill="accent2"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4">
    <w:name w:val="Colorful Shading Accent 3"/>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d6e3bc" w:themeFill="accent3"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5e7530" w:themeFill="accent3" w:themeFillShade="99"/>
        <w:tcBorders>
          <w:top w:val="single" w:color="ffffff" w:themeColor="background1" w:sz="6"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5">
    <w:name w:val="Colorful Shading Accent 4"/>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ccc0d9" w:themeFill="accent4"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4c3b62" w:themeFill="accent4"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6">
    <w:name w:val="Colorful Shading Accent 5"/>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b6dde8" w:themeFill="accent5"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76a7c" w:themeFill="accent5"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7">
    <w:name w:val="Colorful Shading Accent 6"/>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d4b4" w:themeFill="accent6"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b65608" w:themeFill="accent6"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8">
    <w:name w:val="Colorful List"/>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6e6e6" w:themeFill="text1" w:themeFillTint="19"/>
      <w:tcBorders/>
    </w:tcPr>
    <w:tblStylePr w:type="band1Horz">
      <w:pPr>
        <w:pBdr/>
        <w:spacing/>
        <w:ind/>
      </w:pPr>
      <w:tblPr>
        <w:tblBorders/>
      </w:tblPr>
      <w:tcPr>
        <w:shd w:val="clear" w:color="auto" w:fill="cccccc" w:themeFill="text1" w:themeFillTint="33"/>
        <w:tcBorders/>
      </w:tcPr>
    </w:tblStylePr>
    <w:tblStylePr w:type="band1Vert">
      <w:pPr>
        <w:pBdr/>
        <w:spacing/>
        <w:ind/>
      </w:pPr>
      <w:tblPr>
        <w:tblBorders/>
      </w:tblPr>
      <w:tcPr>
        <w:shd w:val="clear" w:color="auto" w:fill="c0c0c0" w:themeFill="tex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9">
    <w:name w:val="Colorful List Accent 1"/>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2f8" w:themeFill="accent1" w:themeFillTint="19"/>
      <w:tcBorders/>
    </w:tcPr>
    <w:tblStylePr w:type="band1Horz">
      <w:pPr>
        <w:pBdr/>
        <w:spacing/>
        <w:ind/>
      </w:pPr>
      <w:tblPr>
        <w:tblBorders/>
      </w:tblPr>
      <w:tcPr>
        <w:shd w:val="clear" w:color="auto" w:fill="dbe5f1" w:themeFill="accent1" w:themeFillTint="33"/>
        <w:tcBorders/>
      </w:tcPr>
    </w:tblStylePr>
    <w:tblStylePr w:type="band1Vert">
      <w:pPr>
        <w:pBdr/>
        <w:spacing/>
        <w:ind/>
      </w:pPr>
      <w:tblPr>
        <w:tblBorders/>
      </w:tblPr>
      <w:tcPr>
        <w:shd w:val="clear" w:color="auto" w:fill="d3dfee" w:themeFill="accen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0">
    <w:name w:val="Colorful List Accent 2"/>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8eded" w:themeFill="accent2" w:themeFillTint="19"/>
      <w:tcBorders/>
    </w:tcPr>
    <w:tblStylePr w:type="band1Horz">
      <w:pPr>
        <w:pBdr/>
        <w:spacing/>
        <w:ind/>
      </w:pPr>
      <w:tblPr>
        <w:tblBorders/>
      </w:tblPr>
      <w:tcPr>
        <w:shd w:val="clear" w:color="auto" w:fill="f2dbdb" w:themeFill="accent2" w:themeFillTint="33"/>
        <w:tcBorders/>
      </w:tcPr>
    </w:tblStylePr>
    <w:tblStylePr w:type="band1Vert">
      <w:pPr>
        <w:pBdr/>
        <w:spacing/>
        <w:ind/>
      </w:pPr>
      <w:tblPr>
        <w:tblBorders/>
      </w:tblPr>
      <w:tcPr>
        <w:shd w:val="clear" w:color="auto" w:fill="efd3d2" w:themeFill="accent2"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1">
    <w:name w:val="Colorful List Accent 3"/>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5f8ee" w:themeFill="accent3" w:themeFillTint="19"/>
      <w:tcBorders/>
    </w:tcPr>
    <w:tblStylePr w:type="band1Horz">
      <w:pPr>
        <w:pBdr/>
        <w:spacing/>
        <w:ind/>
      </w:pPr>
      <w:tblPr>
        <w:tblBorders/>
      </w:tblPr>
      <w:tcPr>
        <w:shd w:val="clear" w:color="auto" w:fill="eaf1dd" w:themeFill="accent3" w:themeFillTint="33"/>
        <w:tcBorders/>
      </w:tcPr>
    </w:tblStylePr>
    <w:tblStylePr w:type="band1Vert">
      <w:pPr>
        <w:pBdr/>
        <w:spacing/>
        <w:ind/>
      </w:pPr>
      <w:tblPr>
        <w:tblBorders/>
      </w:tblPr>
      <w:tcPr>
        <w:shd w:val="clear" w:color="auto" w:fill="e6eed5" w:themeFill="accent3"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664e82" w:themeFill="accent4"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664e82" w:themeColor="accent4"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2">
    <w:name w:val="Colorful List Accent 4"/>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2eff6" w:themeFill="accent4" w:themeFillTint="19"/>
      <w:tcBorders/>
    </w:tcPr>
    <w:tblStylePr w:type="band1Horz">
      <w:pPr>
        <w:pBdr/>
        <w:spacing/>
        <w:ind/>
      </w:pPr>
      <w:tblPr>
        <w:tblBorders/>
      </w:tblPr>
      <w:tcPr>
        <w:shd w:val="clear" w:color="auto" w:fill="e5dfec" w:themeFill="accent4" w:themeFillTint="33"/>
        <w:tcBorders/>
      </w:tcPr>
    </w:tblStylePr>
    <w:tblStylePr w:type="band1Vert">
      <w:pPr>
        <w:pBdr/>
        <w:spacing/>
        <w:ind/>
      </w:pPr>
      <w:tblPr>
        <w:tblBorders/>
      </w:tblPr>
      <w:tcPr>
        <w:shd w:val="clear" w:color="auto" w:fill="dfd8e8" w:themeFill="accent4"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7e9c40" w:themeFill="accent3"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7e9c40" w:themeColor="accent3"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3">
    <w:name w:val="Colorful List Accent 5"/>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6f9" w:themeFill="accent5" w:themeFillTint="19"/>
      <w:tcBorders/>
    </w:tcPr>
    <w:tblStylePr w:type="band1Horz">
      <w:pPr>
        <w:pBdr/>
        <w:spacing/>
        <w:ind/>
      </w:pPr>
      <w:tblPr>
        <w:tblBorders/>
      </w:tblPr>
      <w:tcPr>
        <w:shd w:val="clear" w:color="auto" w:fill="daeef3" w:themeFill="accent5" w:themeFillTint="33"/>
        <w:tcBorders/>
      </w:tcPr>
    </w:tblStylePr>
    <w:tblStylePr w:type="band1Vert">
      <w:pPr>
        <w:pBdr/>
        <w:spacing/>
        <w:ind/>
      </w:pPr>
      <w:tblPr>
        <w:tblBorders/>
      </w:tblPr>
      <w:tcPr>
        <w:shd w:val="clear" w:color="auto" w:fill="d2eaf1" w:themeFill="accent5"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f2730a" w:themeFill="accent6"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f2730a" w:themeColor="accent6"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4">
    <w:name w:val="Colorful List Accent 6"/>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ef4ec" w:themeFill="accent6" w:themeFillTint="19"/>
      <w:tcBorders/>
    </w:tcPr>
    <w:tblStylePr w:type="band1Horz">
      <w:pPr>
        <w:pBdr/>
        <w:spacing/>
        <w:ind/>
      </w:pPr>
      <w:tblPr>
        <w:tblBorders/>
      </w:tblPr>
      <w:tcPr>
        <w:shd w:val="clear" w:color="auto" w:fill="fde9d9" w:themeFill="accent6" w:themeFillTint="33"/>
        <w:tcBorders/>
      </w:tcPr>
    </w:tblStylePr>
    <w:tblStylePr w:type="band1Vert">
      <w:pPr>
        <w:pBdr/>
        <w:spacing/>
        <w:ind/>
      </w:pPr>
      <w:tblPr>
        <w:tblBorders/>
      </w:tblPr>
      <w:tcPr>
        <w:shd w:val="clear" w:color="auto" w:fill="fde4d0" w:themeFill="accent6"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348da5" w:themeFill="accent5"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348da5" w:themeColor="accent5"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5">
    <w:name w:val="Colorful Grid"/>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cccccc" w:themeFill="text1" w:themeFillTint="33"/>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BF"/>
        <w:tcBorders/>
      </w:tcPr>
    </w:tblStylePr>
    <w:tblStylePr w:type="firstRow">
      <w:rPr>
        <w:b/>
        <w:bCs/>
      </w:rPr>
      <w:pPr>
        <w:pBdr/>
        <w:spacing/>
        <w:ind/>
      </w:pPr>
      <w:tblPr>
        <w:tblBorders/>
      </w:tblPr>
      <w:tcPr>
        <w:shd w:val="clear" w:color="auto" w:fill="999999" w:themeFill="text1" w:themeFillTint="66"/>
        <w:tcBorders/>
      </w:tcPr>
    </w:tblStylePr>
    <w:tblStylePr w:type="lastCol">
      <w:rPr>
        <w:color w:val="ffffff" w:themeColor="background1"/>
      </w:rPr>
      <w:pPr>
        <w:pBdr/>
        <w:spacing/>
        <w:ind/>
      </w:pPr>
      <w:tblPr>
        <w:tblBorders/>
      </w:tblPr>
      <w:tcPr>
        <w:shd w:val="clear" w:color="auto" w:fill="000000" w:themeFill="text1" w:themeFillShade="BF"/>
        <w:tcBorders/>
      </w:tcPr>
    </w:tblStylePr>
    <w:tblStylePr w:type="lastRow">
      <w:rPr>
        <w:b/>
        <w:bCs/>
        <w:color w:val="000000" w:themeColor="text1"/>
      </w:rPr>
      <w:pPr>
        <w:pBdr/>
        <w:spacing/>
        <w:ind/>
      </w:pPr>
      <w:tblPr>
        <w:tblBorders/>
      </w:tblPr>
      <w:tcPr>
        <w:shd w:val="clear" w:color="auto" w:fill="999999" w:themeFill="tex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6">
    <w:name w:val="Colorful Grid Accent 1"/>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be5f1" w:themeFill="accent1" w:themeFillTint="33"/>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65f91" w:themeFill="accent1" w:themeFillShade="BF"/>
        <w:tcBorders/>
      </w:tcPr>
    </w:tblStylePr>
    <w:tblStylePr w:type="firstRow">
      <w:rPr>
        <w:b/>
        <w:bCs/>
      </w:rPr>
      <w:pPr>
        <w:pBdr/>
        <w:spacing/>
        <w:ind/>
      </w:pPr>
      <w:tblPr>
        <w:tblBorders/>
      </w:tblPr>
      <w:tcPr>
        <w:shd w:val="clear" w:color="auto" w:fill="b8cce4" w:themeFill="accent1" w:themeFillTint="66"/>
        <w:tcBorders/>
      </w:tcPr>
    </w:tblStylePr>
    <w:tblStylePr w:type="lastCol">
      <w:rPr>
        <w:color w:val="ffffff" w:themeColor="background1"/>
      </w:rPr>
      <w:pPr>
        <w:pBdr/>
        <w:spacing/>
        <w:ind/>
      </w:pPr>
      <w:tblPr>
        <w:tblBorders/>
      </w:tblPr>
      <w:tcPr>
        <w:shd w:val="clear" w:color="auto" w:fill="365f91" w:themeFill="accent1" w:themeFillShade="BF"/>
        <w:tcBorders/>
      </w:tcPr>
    </w:tblStylePr>
    <w:tblStylePr w:type="lastRow">
      <w:rPr>
        <w:b/>
        <w:bCs/>
        <w:color w:val="000000" w:themeColor="text1"/>
      </w:rPr>
      <w:pPr>
        <w:pBdr/>
        <w:spacing/>
        <w:ind/>
      </w:pPr>
      <w:tblPr>
        <w:tblBorders/>
      </w:tblPr>
      <w:tcPr>
        <w:shd w:val="clear" w:color="auto" w:fill="b8cce4" w:themeFill="accen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7">
    <w:name w:val="Colorful Grid Accent 2"/>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2dbdb" w:themeFill="accent2" w:themeFillTint="33"/>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943634" w:themeFill="accent2" w:themeFillShade="BF"/>
        <w:tcBorders/>
      </w:tcPr>
    </w:tblStylePr>
    <w:tblStylePr w:type="firstRow">
      <w:rPr>
        <w:b/>
        <w:bCs/>
      </w:rPr>
      <w:pPr>
        <w:pBdr/>
        <w:spacing/>
        <w:ind/>
      </w:pPr>
      <w:tblPr>
        <w:tblBorders/>
      </w:tblPr>
      <w:tcPr>
        <w:shd w:val="clear" w:color="auto" w:fill="e5b8b7" w:themeFill="accent2" w:themeFillTint="66"/>
        <w:tcBorders/>
      </w:tcPr>
    </w:tblStylePr>
    <w:tblStylePr w:type="lastCol">
      <w:rPr>
        <w:color w:val="ffffff" w:themeColor="background1"/>
      </w:rPr>
      <w:pPr>
        <w:pBdr/>
        <w:spacing/>
        <w:ind/>
      </w:pPr>
      <w:tblPr>
        <w:tblBorders/>
      </w:tblPr>
      <w:tcPr>
        <w:shd w:val="clear" w:color="auto" w:fill="943634" w:themeFill="accent2" w:themeFillShade="BF"/>
        <w:tcBorders/>
      </w:tcPr>
    </w:tblStylePr>
    <w:tblStylePr w:type="lastRow">
      <w:rPr>
        <w:b/>
        <w:bCs/>
        <w:color w:val="000000" w:themeColor="text1"/>
      </w:rPr>
      <w:pPr>
        <w:pBdr/>
        <w:spacing/>
        <w:ind/>
      </w:pPr>
      <w:tblPr>
        <w:tblBorders/>
      </w:tblPr>
      <w:tcPr>
        <w:shd w:val="clear" w:color="auto" w:fill="e5b8b7" w:themeFill="accent2"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8">
    <w:name w:val="Colorful Grid Accent 3"/>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af1dd" w:themeFill="accent3" w:themeFillTint="33"/>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6923c" w:themeFill="accent3" w:themeFillShade="BF"/>
        <w:tcBorders/>
      </w:tcPr>
    </w:tblStylePr>
    <w:tblStylePr w:type="firstRow">
      <w:rPr>
        <w:b/>
        <w:bCs/>
      </w:rPr>
      <w:pPr>
        <w:pBdr/>
        <w:spacing/>
        <w:ind/>
      </w:pPr>
      <w:tblPr>
        <w:tblBorders/>
      </w:tblPr>
      <w:tcPr>
        <w:shd w:val="clear" w:color="auto" w:fill="d6e3bc" w:themeFill="accent3" w:themeFillTint="66"/>
        <w:tcBorders/>
      </w:tcPr>
    </w:tblStylePr>
    <w:tblStylePr w:type="lastCol">
      <w:rPr>
        <w:color w:val="ffffff" w:themeColor="background1"/>
      </w:rPr>
      <w:pPr>
        <w:pBdr/>
        <w:spacing/>
        <w:ind/>
      </w:pPr>
      <w:tblPr>
        <w:tblBorders/>
      </w:tblPr>
      <w:tcPr>
        <w:shd w:val="clear" w:color="auto" w:fill="76923c" w:themeFill="accent3" w:themeFillShade="BF"/>
        <w:tcBorders/>
      </w:tcPr>
    </w:tblStylePr>
    <w:tblStylePr w:type="lastRow">
      <w:rPr>
        <w:b/>
        <w:bCs/>
        <w:color w:val="000000" w:themeColor="text1"/>
      </w:rPr>
      <w:pPr>
        <w:pBdr/>
        <w:spacing/>
        <w:ind/>
      </w:pPr>
      <w:tblPr>
        <w:tblBorders/>
      </w:tblPr>
      <w:tcPr>
        <w:shd w:val="clear" w:color="auto" w:fill="d6e3bc" w:themeFill="accent3"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9">
    <w:name w:val="Colorful Grid Accent 4"/>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5dfec" w:themeFill="accent4" w:themeFillTint="33"/>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f497a" w:themeFill="accent4" w:themeFillShade="BF"/>
        <w:tcBorders/>
      </w:tcPr>
    </w:tblStylePr>
    <w:tblStylePr w:type="firstRow">
      <w:rPr>
        <w:b/>
        <w:bCs/>
      </w:rPr>
      <w:pPr>
        <w:pBdr/>
        <w:spacing/>
        <w:ind/>
      </w:pPr>
      <w:tblPr>
        <w:tblBorders/>
      </w:tblPr>
      <w:tcPr>
        <w:shd w:val="clear" w:color="auto" w:fill="ccc0d9" w:themeFill="accent4" w:themeFillTint="66"/>
        <w:tcBorders/>
      </w:tcPr>
    </w:tblStylePr>
    <w:tblStylePr w:type="lastCol">
      <w:rPr>
        <w:color w:val="ffffff" w:themeColor="background1"/>
      </w:rPr>
      <w:pPr>
        <w:pBdr/>
        <w:spacing/>
        <w:ind/>
      </w:pPr>
      <w:tblPr>
        <w:tblBorders/>
      </w:tblPr>
      <w:tcPr>
        <w:shd w:val="clear" w:color="auto" w:fill="5f497a" w:themeFill="accent4" w:themeFillShade="BF"/>
        <w:tcBorders/>
      </w:tcPr>
    </w:tblStylePr>
    <w:tblStylePr w:type="lastRow">
      <w:rPr>
        <w:b/>
        <w:bCs/>
        <w:color w:val="000000" w:themeColor="text1"/>
      </w:rPr>
      <w:pPr>
        <w:pBdr/>
        <w:spacing/>
        <w:ind/>
      </w:pPr>
      <w:tblPr>
        <w:tblBorders/>
      </w:tblPr>
      <w:tcPr>
        <w:shd w:val="clear" w:color="auto" w:fill="ccc0d9" w:themeFill="accent4"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0">
    <w:name w:val="Colorful Grid Accent 5"/>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aeef3" w:themeFill="accent5" w:themeFillTint="33"/>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1849b" w:themeFill="accent5" w:themeFillShade="BF"/>
        <w:tcBorders/>
      </w:tcPr>
    </w:tblStylePr>
    <w:tblStylePr w:type="firstRow">
      <w:rPr>
        <w:b/>
        <w:bCs/>
      </w:rPr>
      <w:pPr>
        <w:pBdr/>
        <w:spacing/>
        <w:ind/>
      </w:pPr>
      <w:tblPr>
        <w:tblBorders/>
      </w:tblPr>
      <w:tcPr>
        <w:shd w:val="clear" w:color="auto" w:fill="b6dde8" w:themeFill="accent5" w:themeFillTint="66"/>
        <w:tcBorders/>
      </w:tcPr>
    </w:tblStylePr>
    <w:tblStylePr w:type="lastCol">
      <w:rPr>
        <w:color w:val="ffffff" w:themeColor="background1"/>
      </w:rPr>
      <w:pPr>
        <w:pBdr/>
        <w:spacing/>
        <w:ind/>
      </w:pPr>
      <w:tblPr>
        <w:tblBorders/>
      </w:tblPr>
      <w:tcPr>
        <w:shd w:val="clear" w:color="auto" w:fill="31849b" w:themeFill="accent5" w:themeFillShade="BF"/>
        <w:tcBorders/>
      </w:tcPr>
    </w:tblStylePr>
    <w:tblStylePr w:type="lastRow">
      <w:rPr>
        <w:b/>
        <w:bCs/>
        <w:color w:val="000000" w:themeColor="text1"/>
      </w:rPr>
      <w:pPr>
        <w:pBdr/>
        <w:spacing/>
        <w:ind/>
      </w:pPr>
      <w:tblPr>
        <w:tblBorders/>
      </w:tblPr>
      <w:tcPr>
        <w:shd w:val="clear" w:color="auto" w:fill="b6dde8" w:themeFill="accent5"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1">
    <w:name w:val="Colorful Grid Accent 6"/>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de9d9" w:themeFill="accent6" w:themeFillTint="33"/>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e36c0a" w:themeFill="accent6" w:themeFillShade="BF"/>
        <w:tcBorders/>
      </w:tcPr>
    </w:tblStylePr>
    <w:tblStylePr w:type="firstRow">
      <w:rPr>
        <w:b/>
        <w:bCs/>
      </w:rPr>
      <w:pPr>
        <w:pBdr/>
        <w:spacing/>
        <w:ind/>
      </w:pPr>
      <w:tblPr>
        <w:tblBorders/>
      </w:tblPr>
      <w:tcPr>
        <w:shd w:val="clear" w:color="auto" w:fill="fbd4b4" w:themeFill="accent6" w:themeFillTint="66"/>
        <w:tcBorders/>
      </w:tcPr>
    </w:tblStylePr>
    <w:tblStylePr w:type="lastCol">
      <w:rPr>
        <w:color w:val="ffffff" w:themeColor="background1"/>
      </w:rPr>
      <w:pPr>
        <w:pBdr/>
        <w:spacing/>
        <w:ind/>
      </w:pPr>
      <w:tblPr>
        <w:tblBorders/>
      </w:tblPr>
      <w:tcPr>
        <w:shd w:val="clear" w:color="auto" w:fill="e36c0a" w:themeFill="accent6" w:themeFillShade="BF"/>
        <w:tcBorders/>
      </w:tcPr>
    </w:tblStylePr>
    <w:tblStylePr w:type="lastRow">
      <w:rPr>
        <w:b/>
        <w:bCs/>
        <w:color w:val="000000" w:themeColor="text1"/>
      </w:rPr>
      <w:pPr>
        <w:pBdr/>
        <w:spacing/>
        <w:ind/>
      </w:pPr>
      <w:tblPr>
        <w:tblBorders/>
      </w:tblPr>
      <w:tcPr>
        <w:shd w:val="clear" w:color="auto" w:fill="fbd4b4" w:themeFill="accent6"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glossaryDocument" Target="glossary/document.xml"/><Relationship Id="rId7" Type="http://schemas.openxmlformats.org/officeDocument/2006/relationships/numbering" Target="numbering.xml"/><Relationship Id="rId8" Type="http://schemas.openxmlformats.org/officeDocument/2006/relationships/footnotes" Target="footnotes.xml"/><Relationship Id="rId9" Type="http://schemas.openxmlformats.org/officeDocument/2006/relationships/endnotes" Target="endnotes.xml"/><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customXml" Target="../customXml/item1.xml"/><Relationship Id="rId13" Type="http://schemas.openxmlformats.org/officeDocument/2006/relationships/image" Target="media/image1.png"/><Relationship Id="rId14" Type="http://schemas.openxmlformats.org/officeDocument/2006/relationships/header" Target="header2.xml"/><Relationship Id="rId15" Type="http://schemas.openxmlformats.org/officeDocument/2006/relationships/footer" Target="footer2.xml"/><Relationship Id="rId16" Type="http://schemas.openxmlformats.org/officeDocument/2006/relationships/hyperlink" Target="MDR_Mandatory_Documents_and_Records_Register.xlsx" TargetMode="External"/><Relationship Id="rId17" Type="http://schemas.openxmlformats.org/officeDocument/2006/relationships/hyperlink" Target="DR_Document_Register.xlsx" TargetMode="External"/><Relationship Id="rId18" Type="http://schemas.openxmlformats.org/officeDocument/2006/relationships/hyperlink" Target="RRS_Records_Retention_Schedule_Register.xlsx" TargetMode="External"/><Relationship Id="rId19" Type="http://schemas.openxmlformats.org/officeDocument/2006/relationships/hyperlink" Target="CAR_Corrective_Actions_Register.xlsx" TargetMode="External"/><Relationship Id="rId20" Type="http://schemas.openxmlformats.org/officeDocument/2006/relationships/hyperlink" Target="IMPL-WB_ISMS_Implementation_Workbook_Dashboard.xlsx" TargetMode="External"/><Relationship Id="rId21" Type="http://schemas.openxmlformats.org/officeDocument/2006/relationships/hyperlink" Target="ISO_Information_Security_Objectives_Register.xlsx" TargetMode="External"/><Relationship Id="rId22" Type="http://schemas.openxmlformats.org/officeDocument/2006/relationships/hyperlink" Target="MRMT_Management_Review_Minutes_Template.docx" TargetMode="External"/><Relationship Id="rId23" Type="http://schemas.openxmlformats.org/officeDocument/2006/relationships/hyperlink" Target="https://www.iso.org/standard/82875.html" TargetMode="External"/><Relationship Id="rId24" Type="http://schemas.openxmlformats.org/officeDocument/2006/relationships/hyperlink" Target="https://www.amazon.com/s?k=ISO+27001+for+Software+Companies+Implementation+and+Certification" TargetMode="External"/><Relationship Id="rId25" Type="http://schemas.openxmlformats.org/officeDocument/2006/relationships/hyperlink" Target="https://www.amazon.com/dp/978990898344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footnotes" Target="footnotes.xml"/><Relationship Id="rId6" Type="http://schemas.openxmlformats.org/officeDocument/2006/relationships/endnotes" Target="endnot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Parts>
    <w:docPart>
      <w:docPartPr>
        <w:name w:val="DefaultPlaceholder_TEXT"/>
        <w:category>
          <w:name w:val="Common"/>
          <w:gallery w:val="placeholder"/>
        </w:category>
        <w:types>
          <w:type w:val="bbPlcHdr"/>
        </w:types>
        <w:behaviors>
          <w:behavior w:val="content"/>
        </w:behaviors>
      </w:docPartPr>
      <w:docPartBody>
        <w:p>
          <w:pPr>
            <w:pBdr/>
            <w:spacing/>
            <w:ind/>
            <w:rPr/>
          </w:pPr>
          <w:r>
            <w:rPr>
              <w:rStyle w:val="966"/>
            </w:rPr>
            <w:t xml:space="preserve">Hier den Text eingeben</w:t>
          </w:r>
          <w:r/>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font>
  <w:font w:name="Calibri">
    <w:panose1 w:val="020F0502020204030204"/>
  </w:font>
  <w:font w:name="Times New Roman">
    <w:panose1 w:val="02020603050405020304"/>
  </w:font>
  <w:font w:name="Cambria">
    <w:panose1 w:val="02040503050406030204"/>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63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6">
    <w:name w:val="Table Grid"/>
    <w:basedOn w:val="1635"/>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7">
    <w:name w:val="Table Grid Light"/>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8">
    <w:name w:val="Plain Table 1"/>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9">
    <w:name w:val="Plain Table 2"/>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0">
    <w:name w:val="Plain Table 3"/>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1">
    <w:name w:val="Plain Table 4"/>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2">
    <w:name w:val="Plain Table 5"/>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3">
    <w:name w:val="Grid Table 1 Light"/>
    <w:basedOn w:val="163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4">
    <w:name w:val="Grid Table 1 Light - Accent 1"/>
    <w:basedOn w:val="163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5">
    <w:name w:val="Grid Table 1 Light - Accent 2"/>
    <w:basedOn w:val="163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6">
    <w:name w:val="Grid Table 1 Light - Accent 3"/>
    <w:basedOn w:val="163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7">
    <w:name w:val="Grid Table 1 Light - Accent 4"/>
    <w:basedOn w:val="163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8">
    <w:name w:val="Grid Table 1 Light - Accent 5"/>
    <w:basedOn w:val="163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9">
    <w:name w:val="Grid Table 1 Light - Accent 6"/>
    <w:basedOn w:val="163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0">
    <w:name w:val="Grid Table 2"/>
    <w:basedOn w:val="163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1">
    <w:name w:val="Grid Table 2 - Accent 1"/>
    <w:basedOn w:val="163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2">
    <w:name w:val="Grid Table 2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3">
    <w:name w:val="Grid Table 2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4">
    <w:name w:val="Grid Table 2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5">
    <w:name w:val="Grid Table 2 - Accent 5"/>
    <w:basedOn w:val="163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6">
    <w:name w:val="Grid Table 2 - Accent 6"/>
    <w:basedOn w:val="163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7">
    <w:name w:val="Grid Table 3"/>
    <w:basedOn w:val="163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8">
    <w:name w:val="Grid Table 3 - Accent 1"/>
    <w:basedOn w:val="163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9">
    <w:name w:val="Grid Table 3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0">
    <w:name w:val="Grid Table 3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1">
    <w:name w:val="Grid Table 3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2">
    <w:name w:val="Grid Table 3 - Accent 5"/>
    <w:basedOn w:val="163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3">
    <w:name w:val="Grid Table 3 - Accent 6"/>
    <w:basedOn w:val="163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4">
    <w:name w:val="Grid Table 4"/>
    <w:basedOn w:val="163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5">
    <w:name w:val="Grid Table 4 - Accent 1"/>
    <w:basedOn w:val="163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6">
    <w:name w:val="Grid Table 4 - Accent 2"/>
    <w:basedOn w:val="163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7">
    <w:name w:val="Grid Table 4 - Accent 3"/>
    <w:basedOn w:val="163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8">
    <w:name w:val="Grid Table 4 - Accent 4"/>
    <w:basedOn w:val="163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9">
    <w:name w:val="Grid Table 4 - Accent 5"/>
    <w:basedOn w:val="163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0">
    <w:name w:val="Grid Table 4 - Accent 6"/>
    <w:basedOn w:val="163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1">
    <w:name w:val="Grid Table 5 Dark"/>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2">
    <w:name w:val="Grid Table 5 Dark- Accent 1"/>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3">
    <w:name w:val="Grid Table 5 Dark - Accent 2"/>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4">
    <w:name w:val="Grid Table 5 Dark - Accent 3"/>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5">
    <w:name w:val="Grid Table 5 Dark- Accent 4"/>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6">
    <w:name w:val="Grid Table 5 Dark - Accent 5"/>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7">
    <w:name w:val="Grid Table 5 Dark - Accent 6"/>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8">
    <w:name w:val="Grid Table 6 Colorful"/>
    <w:basedOn w:val="163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1679">
    <w:name w:val="Grid Table 6 Colorful - Accent 1"/>
    <w:basedOn w:val="163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1680">
    <w:name w:val="Grid Table 6 Colorful - Accent 2"/>
    <w:basedOn w:val="163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1681">
    <w:name w:val="Grid Table 6 Colorful - Accent 3"/>
    <w:basedOn w:val="163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1682">
    <w:name w:val="Grid Table 6 Colorful - Accent 4"/>
    <w:basedOn w:val="163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1683">
    <w:name w:val="Grid Table 6 Colorful - Accent 5"/>
    <w:basedOn w:val="163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684">
    <w:name w:val="Grid Table 6 Colorful - Accent 6"/>
    <w:basedOn w:val="163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685">
    <w:name w:val="Grid Table 7 Colorful"/>
    <w:basedOn w:val="163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6">
    <w:name w:val="Grid Table 7 Colorful - Accent 1"/>
    <w:basedOn w:val="163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7">
    <w:name w:val="Grid Table 7 Colorful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8">
    <w:name w:val="Grid Table 7 Colorful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9">
    <w:name w:val="Grid Table 7 Colorful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0">
    <w:name w:val="Grid Table 7 Colorful - Accent 5"/>
    <w:basedOn w:val="163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1">
    <w:name w:val="Grid Table 7 Colorful - Accent 6"/>
    <w:basedOn w:val="163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2">
    <w:name w:val="List Table 1 Light"/>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3">
    <w:name w:val="List Table 1 Light - Accent 1"/>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4">
    <w:name w:val="List Table 1 Light - Accent 2"/>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5">
    <w:name w:val="List Table 1 Light - Accent 3"/>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6">
    <w:name w:val="List Table 1 Light - Accent 4"/>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7">
    <w:name w:val="List Table 1 Light - Accent 5"/>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8">
    <w:name w:val="List Table 1 Light - Accent 6"/>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9">
    <w:name w:val="List Table 2"/>
    <w:basedOn w:val="163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0">
    <w:name w:val="List Table 2 - Accent 1"/>
    <w:basedOn w:val="163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1">
    <w:name w:val="List Table 2 - Accent 2"/>
    <w:basedOn w:val="163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2">
    <w:name w:val="List Table 2 - Accent 3"/>
    <w:basedOn w:val="163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3">
    <w:name w:val="List Table 2 - Accent 4"/>
    <w:basedOn w:val="163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4">
    <w:name w:val="List Table 2 - Accent 5"/>
    <w:basedOn w:val="163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5">
    <w:name w:val="List Table 2 - Accent 6"/>
    <w:basedOn w:val="163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6">
    <w:name w:val="List Table 3"/>
    <w:basedOn w:val="163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7">
    <w:name w:val="List Table 3 - Accent 1"/>
    <w:basedOn w:val="163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8">
    <w:name w:val="List Table 3 - Accent 2"/>
    <w:basedOn w:val="163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9">
    <w:name w:val="List Table 3 - Accent 3"/>
    <w:basedOn w:val="163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0">
    <w:name w:val="List Table 3 - Accent 4"/>
    <w:basedOn w:val="163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1">
    <w:name w:val="List Table 3 - Accent 5"/>
    <w:basedOn w:val="163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2">
    <w:name w:val="List Table 3 - Accent 6"/>
    <w:basedOn w:val="163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3">
    <w:name w:val="List Table 4"/>
    <w:basedOn w:val="163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4">
    <w:name w:val="List Table 4 - Accent 1"/>
    <w:basedOn w:val="163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5">
    <w:name w:val="List Table 4 - Accent 2"/>
    <w:basedOn w:val="163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6">
    <w:name w:val="List Table 4 - Accent 3"/>
    <w:basedOn w:val="163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7">
    <w:name w:val="List Table 4 - Accent 4"/>
    <w:basedOn w:val="163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8">
    <w:name w:val="List Table 4 - Accent 5"/>
    <w:basedOn w:val="163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9">
    <w:name w:val="List Table 4 - Accent 6"/>
    <w:basedOn w:val="163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0">
    <w:name w:val="List Table 5 Dark"/>
    <w:basedOn w:val="163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1">
    <w:name w:val="List Table 5 Dark - Accent 1"/>
    <w:basedOn w:val="163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2">
    <w:name w:val="List Table 5 Dark - Accent 2"/>
    <w:basedOn w:val="163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3">
    <w:name w:val="List Table 5 Dark - Accent 3"/>
    <w:basedOn w:val="163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4">
    <w:name w:val="List Table 5 Dark - Accent 4"/>
    <w:basedOn w:val="163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5">
    <w:name w:val="List Table 5 Dark - Accent 5"/>
    <w:basedOn w:val="163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6">
    <w:name w:val="List Table 5 Dark - Accent 6"/>
    <w:basedOn w:val="163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7">
    <w:name w:val="List Table 6 Colorful"/>
    <w:basedOn w:val="163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8">
    <w:name w:val="List Table 6 Colorful - Accent 1"/>
    <w:basedOn w:val="163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9">
    <w:name w:val="List Table 6 Colorful - Accent 2"/>
    <w:basedOn w:val="163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0">
    <w:name w:val="List Table 6 Colorful - Accent 3"/>
    <w:basedOn w:val="163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1">
    <w:name w:val="List Table 6 Colorful - Accent 4"/>
    <w:basedOn w:val="163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2">
    <w:name w:val="List Table 6 Colorful - Accent 5"/>
    <w:basedOn w:val="163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3">
    <w:name w:val="List Table 6 Colorful - Accent 6"/>
    <w:basedOn w:val="163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4">
    <w:name w:val="List Table 7 Colorful"/>
    <w:basedOn w:val="163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735">
    <w:name w:val="List Table 7 Colorful - Accent 1"/>
    <w:basedOn w:val="163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736">
    <w:name w:val="List Table 7 Colorful - Accent 2"/>
    <w:basedOn w:val="163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737">
    <w:name w:val="List Table 7 Colorful - Accent 3"/>
    <w:basedOn w:val="163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738">
    <w:name w:val="List Table 7 Colorful - Accent 4"/>
    <w:basedOn w:val="163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739">
    <w:name w:val="List Table 7 Colorful - Accent 5"/>
    <w:basedOn w:val="163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740">
    <w:name w:val="List Table 7 Colorful - Accent 6"/>
    <w:basedOn w:val="163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741">
    <w:name w:val="Lined - Accent"/>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2">
    <w:name w:val="Lined - Accent 1"/>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3">
    <w:name w:val="Lined - Accent 2"/>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4">
    <w:name w:val="Lined - Accent 3"/>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5">
    <w:name w:val="Lined - Accent 4"/>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6">
    <w:name w:val="Lined - Accent 5"/>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7">
    <w:name w:val="Lined - Accent 6"/>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8">
    <w:name w:val="Bordered &amp; Lined - Accent"/>
    <w:basedOn w:val="163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9">
    <w:name w:val="Bordered &amp; Lined - Accent 1"/>
    <w:basedOn w:val="163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0">
    <w:name w:val="Bordered &amp; Lined - Accent 2"/>
    <w:basedOn w:val="163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1">
    <w:name w:val="Bordered &amp; Lined - Accent 3"/>
    <w:basedOn w:val="163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2">
    <w:name w:val="Bordered &amp; Lined - Accent 4"/>
    <w:basedOn w:val="163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3">
    <w:name w:val="Bordered &amp; Lined - Accent 5"/>
    <w:basedOn w:val="163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4">
    <w:name w:val="Bordered &amp; Lined - Accent 6"/>
    <w:basedOn w:val="163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5">
    <w:name w:val="Bordered"/>
    <w:basedOn w:val="163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6">
    <w:name w:val="Bordered - Accent 1"/>
    <w:basedOn w:val="163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7">
    <w:name w:val="Bordered - Accent 2"/>
    <w:basedOn w:val="163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8">
    <w:name w:val="Bordered - Accent 3"/>
    <w:basedOn w:val="163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9">
    <w:name w:val="Bordered - Accent 4"/>
    <w:basedOn w:val="163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0">
    <w:name w:val="Bordered - Accent 5"/>
    <w:basedOn w:val="163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1">
    <w:name w:val="Bordered - Accent 6"/>
    <w:basedOn w:val="163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762" w:default="1">
    <w:name w:val="Normal"/>
    <w:qFormat/>
    <w:pPr>
      <w:pBdr/>
      <w:spacing/>
      <w:ind/>
    </w:pPr>
  </w:style>
  <w:style w:type="paragraph" w:styleId="1763">
    <w:name w:val="Heading 1"/>
    <w:basedOn w:val="1762"/>
    <w:next w:val="1762"/>
    <w:link w:val="1774"/>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764">
    <w:name w:val="Heading 2"/>
    <w:basedOn w:val="1762"/>
    <w:next w:val="1762"/>
    <w:link w:val="1775"/>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765">
    <w:name w:val="Heading 3"/>
    <w:basedOn w:val="1762"/>
    <w:next w:val="1762"/>
    <w:link w:val="1776"/>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766">
    <w:name w:val="Heading 4"/>
    <w:basedOn w:val="1762"/>
    <w:next w:val="1762"/>
    <w:link w:val="1777"/>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767">
    <w:name w:val="Heading 5"/>
    <w:basedOn w:val="1762"/>
    <w:next w:val="1762"/>
    <w:link w:val="1778"/>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768">
    <w:name w:val="Heading 6"/>
    <w:basedOn w:val="1762"/>
    <w:next w:val="1762"/>
    <w:link w:val="1779"/>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769">
    <w:name w:val="Heading 7"/>
    <w:basedOn w:val="1762"/>
    <w:next w:val="1762"/>
    <w:link w:val="1780"/>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770">
    <w:name w:val="Heading 8"/>
    <w:basedOn w:val="1762"/>
    <w:next w:val="1762"/>
    <w:link w:val="1781"/>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771">
    <w:name w:val="Heading 9"/>
    <w:basedOn w:val="1762"/>
    <w:next w:val="1762"/>
    <w:link w:val="1782"/>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772" w:default="1">
    <w:name w:val="Default Paragraph Font"/>
    <w:uiPriority w:val="1"/>
    <w:semiHidden/>
    <w:unhideWhenUsed/>
    <w:pPr>
      <w:pBdr/>
      <w:spacing/>
      <w:ind/>
    </w:pPr>
  </w:style>
  <w:style w:type="numbering" w:styleId="1773" w:default="1">
    <w:name w:val="No List"/>
    <w:uiPriority w:val="99"/>
    <w:semiHidden/>
    <w:unhideWhenUsed/>
    <w:pPr>
      <w:pBdr/>
      <w:spacing/>
      <w:ind/>
    </w:pPr>
  </w:style>
  <w:style w:type="character" w:styleId="1774">
    <w:name w:val="Heading 1 Char"/>
    <w:basedOn w:val="1772"/>
    <w:link w:val="1763"/>
    <w:uiPriority w:val="9"/>
    <w:pPr>
      <w:pBdr/>
      <w:spacing/>
      <w:ind/>
    </w:pPr>
    <w:rPr>
      <w:rFonts w:ascii="Arial" w:hAnsi="Arial" w:eastAsia="Arial" w:cs="Arial"/>
      <w:color w:val="0f4761" w:themeColor="accent1" w:themeShade="BF"/>
      <w:sz w:val="40"/>
      <w:szCs w:val="40"/>
    </w:rPr>
  </w:style>
  <w:style w:type="character" w:styleId="1775">
    <w:name w:val="Heading 2 Char"/>
    <w:basedOn w:val="1772"/>
    <w:link w:val="1764"/>
    <w:uiPriority w:val="9"/>
    <w:pPr>
      <w:pBdr/>
      <w:spacing/>
      <w:ind/>
    </w:pPr>
    <w:rPr>
      <w:rFonts w:ascii="Arial" w:hAnsi="Arial" w:eastAsia="Arial" w:cs="Arial"/>
      <w:color w:val="0f4761" w:themeColor="accent1" w:themeShade="BF"/>
      <w:sz w:val="32"/>
      <w:szCs w:val="32"/>
    </w:rPr>
  </w:style>
  <w:style w:type="character" w:styleId="1776">
    <w:name w:val="Heading 3 Char"/>
    <w:basedOn w:val="1772"/>
    <w:link w:val="1765"/>
    <w:uiPriority w:val="9"/>
    <w:pPr>
      <w:pBdr/>
      <w:spacing/>
      <w:ind/>
    </w:pPr>
    <w:rPr>
      <w:rFonts w:ascii="Arial" w:hAnsi="Arial" w:eastAsia="Arial" w:cs="Arial"/>
      <w:color w:val="0f4761" w:themeColor="accent1" w:themeShade="BF"/>
      <w:sz w:val="28"/>
      <w:szCs w:val="28"/>
    </w:rPr>
  </w:style>
  <w:style w:type="character" w:styleId="1777">
    <w:name w:val="Heading 4 Char"/>
    <w:basedOn w:val="1772"/>
    <w:link w:val="1766"/>
    <w:uiPriority w:val="9"/>
    <w:pPr>
      <w:pBdr/>
      <w:spacing/>
      <w:ind/>
    </w:pPr>
    <w:rPr>
      <w:rFonts w:ascii="Arial" w:hAnsi="Arial" w:eastAsia="Arial" w:cs="Arial"/>
      <w:i/>
      <w:iCs/>
      <w:color w:val="0f4761" w:themeColor="accent1" w:themeShade="BF"/>
    </w:rPr>
  </w:style>
  <w:style w:type="character" w:styleId="1778">
    <w:name w:val="Heading 5 Char"/>
    <w:basedOn w:val="1772"/>
    <w:link w:val="1767"/>
    <w:uiPriority w:val="9"/>
    <w:pPr>
      <w:pBdr/>
      <w:spacing/>
      <w:ind/>
    </w:pPr>
    <w:rPr>
      <w:rFonts w:ascii="Arial" w:hAnsi="Arial" w:eastAsia="Arial" w:cs="Arial"/>
      <w:color w:val="0f4761" w:themeColor="accent1" w:themeShade="BF"/>
    </w:rPr>
  </w:style>
  <w:style w:type="character" w:styleId="1779">
    <w:name w:val="Heading 6 Char"/>
    <w:basedOn w:val="1772"/>
    <w:link w:val="1768"/>
    <w:uiPriority w:val="9"/>
    <w:pPr>
      <w:pBdr/>
      <w:spacing/>
      <w:ind/>
    </w:pPr>
    <w:rPr>
      <w:rFonts w:ascii="Arial" w:hAnsi="Arial" w:eastAsia="Arial" w:cs="Arial"/>
      <w:i/>
      <w:iCs/>
      <w:color w:val="595959" w:themeColor="text1" w:themeTint="A6"/>
    </w:rPr>
  </w:style>
  <w:style w:type="character" w:styleId="1780">
    <w:name w:val="Heading 7 Char"/>
    <w:basedOn w:val="1772"/>
    <w:link w:val="1769"/>
    <w:uiPriority w:val="9"/>
    <w:pPr>
      <w:pBdr/>
      <w:spacing/>
      <w:ind/>
    </w:pPr>
    <w:rPr>
      <w:rFonts w:ascii="Arial" w:hAnsi="Arial" w:eastAsia="Arial" w:cs="Arial"/>
      <w:color w:val="595959" w:themeColor="text1" w:themeTint="A6"/>
    </w:rPr>
  </w:style>
  <w:style w:type="character" w:styleId="1781">
    <w:name w:val="Heading 8 Char"/>
    <w:basedOn w:val="1772"/>
    <w:link w:val="1770"/>
    <w:uiPriority w:val="9"/>
    <w:pPr>
      <w:pBdr/>
      <w:spacing/>
      <w:ind/>
    </w:pPr>
    <w:rPr>
      <w:rFonts w:ascii="Arial" w:hAnsi="Arial" w:eastAsia="Arial" w:cs="Arial"/>
      <w:i/>
      <w:iCs/>
      <w:color w:val="272727" w:themeColor="text1" w:themeTint="D8"/>
    </w:rPr>
  </w:style>
  <w:style w:type="character" w:styleId="1782">
    <w:name w:val="Heading 9 Char"/>
    <w:basedOn w:val="1772"/>
    <w:link w:val="1771"/>
    <w:uiPriority w:val="9"/>
    <w:pPr>
      <w:pBdr/>
      <w:spacing/>
      <w:ind/>
    </w:pPr>
    <w:rPr>
      <w:rFonts w:ascii="Arial" w:hAnsi="Arial" w:eastAsia="Arial" w:cs="Arial"/>
      <w:i/>
      <w:iCs/>
      <w:color w:val="272727" w:themeColor="text1" w:themeTint="D8"/>
    </w:rPr>
  </w:style>
  <w:style w:type="paragraph" w:styleId="1783">
    <w:name w:val="Title"/>
    <w:basedOn w:val="1762"/>
    <w:next w:val="1762"/>
    <w:link w:val="1784"/>
    <w:uiPriority w:val="10"/>
    <w:qFormat/>
    <w:pPr>
      <w:pBdr/>
      <w:spacing w:after="80" w:line="240" w:lineRule="auto"/>
      <w:ind/>
      <w:contextualSpacing w:val="true"/>
    </w:pPr>
    <w:rPr>
      <w:rFonts w:ascii="Arial" w:hAnsi="Arial" w:eastAsia="Arial" w:cs="Arial"/>
      <w:spacing w:val="-10"/>
      <w:sz w:val="56"/>
      <w:szCs w:val="56"/>
    </w:rPr>
  </w:style>
  <w:style w:type="character" w:styleId="1784">
    <w:name w:val="Title Char"/>
    <w:basedOn w:val="1772"/>
    <w:link w:val="1783"/>
    <w:uiPriority w:val="10"/>
    <w:pPr>
      <w:pBdr/>
      <w:spacing/>
      <w:ind/>
    </w:pPr>
    <w:rPr>
      <w:rFonts w:ascii="Arial" w:hAnsi="Arial" w:eastAsia="Arial" w:cs="Arial"/>
      <w:spacing w:val="-10"/>
      <w:sz w:val="56"/>
      <w:szCs w:val="56"/>
    </w:rPr>
  </w:style>
  <w:style w:type="paragraph" w:styleId="1785">
    <w:name w:val="Subtitle"/>
    <w:basedOn w:val="1762"/>
    <w:next w:val="1762"/>
    <w:link w:val="1786"/>
    <w:uiPriority w:val="11"/>
    <w:qFormat/>
    <w:pPr>
      <w:numPr>
        <w:ilvl w:val="1"/>
      </w:numPr>
      <w:pBdr/>
      <w:spacing/>
      <w:ind/>
    </w:pPr>
    <w:rPr>
      <w:color w:val="595959" w:themeColor="text1" w:themeTint="A6"/>
      <w:spacing w:val="15"/>
      <w:sz w:val="28"/>
      <w:szCs w:val="28"/>
    </w:rPr>
  </w:style>
  <w:style w:type="character" w:styleId="1786">
    <w:name w:val="Subtitle Char"/>
    <w:basedOn w:val="1772"/>
    <w:link w:val="1785"/>
    <w:uiPriority w:val="11"/>
    <w:pPr>
      <w:pBdr/>
      <w:spacing/>
      <w:ind/>
    </w:pPr>
    <w:rPr>
      <w:color w:val="595959" w:themeColor="text1" w:themeTint="A6"/>
      <w:spacing w:val="15"/>
      <w:sz w:val="28"/>
      <w:szCs w:val="28"/>
    </w:rPr>
  </w:style>
  <w:style w:type="paragraph" w:styleId="1787">
    <w:name w:val="Quote"/>
    <w:basedOn w:val="1762"/>
    <w:next w:val="1762"/>
    <w:link w:val="1788"/>
    <w:uiPriority w:val="29"/>
    <w:qFormat/>
    <w:pPr>
      <w:pBdr/>
      <w:spacing w:before="160"/>
      <w:ind/>
      <w:jc w:val="center"/>
    </w:pPr>
    <w:rPr>
      <w:i/>
      <w:iCs/>
      <w:color w:val="404040" w:themeColor="text1" w:themeTint="BF"/>
    </w:rPr>
  </w:style>
  <w:style w:type="character" w:styleId="1788">
    <w:name w:val="Quote Char"/>
    <w:basedOn w:val="1772"/>
    <w:link w:val="1787"/>
    <w:uiPriority w:val="29"/>
    <w:pPr>
      <w:pBdr/>
      <w:spacing/>
      <w:ind/>
    </w:pPr>
    <w:rPr>
      <w:i/>
      <w:iCs/>
      <w:color w:val="404040" w:themeColor="text1" w:themeTint="BF"/>
    </w:rPr>
  </w:style>
  <w:style w:type="paragraph" w:styleId="1789">
    <w:name w:val="List Paragraph"/>
    <w:basedOn w:val="1762"/>
    <w:uiPriority w:val="34"/>
    <w:qFormat/>
    <w:pPr>
      <w:pBdr/>
      <w:spacing/>
      <w:ind w:left="720"/>
      <w:contextualSpacing w:val="true"/>
    </w:pPr>
  </w:style>
  <w:style w:type="character" w:styleId="1790">
    <w:name w:val="Intense Emphasis"/>
    <w:basedOn w:val="1772"/>
    <w:uiPriority w:val="21"/>
    <w:qFormat/>
    <w:pPr>
      <w:pBdr/>
      <w:spacing/>
      <w:ind/>
    </w:pPr>
    <w:rPr>
      <w:i/>
      <w:iCs/>
      <w:color w:val="0f4761" w:themeColor="accent1" w:themeShade="BF"/>
    </w:rPr>
  </w:style>
  <w:style w:type="paragraph" w:styleId="1791">
    <w:name w:val="Intense Quote"/>
    <w:basedOn w:val="1762"/>
    <w:next w:val="1762"/>
    <w:link w:val="179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792">
    <w:name w:val="Intense Quote Char"/>
    <w:basedOn w:val="1772"/>
    <w:link w:val="1791"/>
    <w:uiPriority w:val="30"/>
    <w:pPr>
      <w:pBdr/>
      <w:spacing/>
      <w:ind/>
    </w:pPr>
    <w:rPr>
      <w:i/>
      <w:iCs/>
      <w:color w:val="0f4761" w:themeColor="accent1" w:themeShade="BF"/>
    </w:rPr>
  </w:style>
  <w:style w:type="character" w:styleId="1793">
    <w:name w:val="Intense Reference"/>
    <w:basedOn w:val="1772"/>
    <w:uiPriority w:val="32"/>
    <w:qFormat/>
    <w:pPr>
      <w:pBdr/>
      <w:spacing/>
      <w:ind/>
    </w:pPr>
    <w:rPr>
      <w:b/>
      <w:bCs/>
      <w:smallCaps/>
      <w:color w:val="0f4761" w:themeColor="accent1" w:themeShade="BF"/>
      <w:spacing w:val="5"/>
    </w:rPr>
  </w:style>
  <w:style w:type="paragraph" w:styleId="1794">
    <w:name w:val="No Spacing"/>
    <w:basedOn w:val="1762"/>
    <w:uiPriority w:val="1"/>
    <w:qFormat/>
    <w:pPr>
      <w:pBdr/>
      <w:spacing w:after="0" w:line="240" w:lineRule="auto"/>
      <w:ind/>
    </w:pPr>
  </w:style>
  <w:style w:type="character" w:styleId="1795">
    <w:name w:val="Subtle Emphasis"/>
    <w:basedOn w:val="1772"/>
    <w:uiPriority w:val="19"/>
    <w:qFormat/>
    <w:pPr>
      <w:pBdr/>
      <w:spacing/>
      <w:ind/>
    </w:pPr>
    <w:rPr>
      <w:i/>
      <w:iCs/>
      <w:color w:val="404040" w:themeColor="text1" w:themeTint="BF"/>
    </w:rPr>
  </w:style>
  <w:style w:type="character" w:styleId="1796">
    <w:name w:val="Emphasis"/>
    <w:basedOn w:val="1772"/>
    <w:uiPriority w:val="20"/>
    <w:qFormat/>
    <w:pPr>
      <w:pBdr/>
      <w:spacing/>
      <w:ind/>
    </w:pPr>
    <w:rPr>
      <w:i/>
      <w:iCs/>
    </w:rPr>
  </w:style>
  <w:style w:type="character" w:styleId="1797">
    <w:name w:val="Strong"/>
    <w:basedOn w:val="1772"/>
    <w:uiPriority w:val="22"/>
    <w:qFormat/>
    <w:pPr>
      <w:pBdr/>
      <w:spacing/>
      <w:ind/>
    </w:pPr>
    <w:rPr>
      <w:b/>
      <w:bCs/>
    </w:rPr>
  </w:style>
  <w:style w:type="character" w:styleId="1798">
    <w:name w:val="Subtle Reference"/>
    <w:basedOn w:val="1772"/>
    <w:uiPriority w:val="31"/>
    <w:qFormat/>
    <w:pPr>
      <w:pBdr/>
      <w:spacing/>
      <w:ind/>
    </w:pPr>
    <w:rPr>
      <w:smallCaps/>
      <w:color w:val="5a5a5a" w:themeColor="text1" w:themeTint="A5"/>
    </w:rPr>
  </w:style>
  <w:style w:type="character" w:styleId="1799">
    <w:name w:val="Book Title"/>
    <w:basedOn w:val="1772"/>
    <w:uiPriority w:val="33"/>
    <w:qFormat/>
    <w:pPr>
      <w:pBdr/>
      <w:spacing/>
      <w:ind/>
    </w:pPr>
    <w:rPr>
      <w:b/>
      <w:bCs/>
      <w:i/>
      <w:iCs/>
      <w:spacing w:val="5"/>
    </w:rPr>
  </w:style>
  <w:style w:type="paragraph" w:styleId="1800">
    <w:name w:val="Header"/>
    <w:basedOn w:val="1762"/>
    <w:link w:val="1801"/>
    <w:uiPriority w:val="99"/>
    <w:unhideWhenUsed/>
    <w:pPr>
      <w:pBdr/>
      <w:tabs>
        <w:tab w:val="center" w:leader="none" w:pos="4844"/>
        <w:tab w:val="right" w:leader="none" w:pos="9689"/>
      </w:tabs>
      <w:spacing w:after="0" w:line="240" w:lineRule="auto"/>
      <w:ind/>
    </w:pPr>
  </w:style>
  <w:style w:type="character" w:styleId="1801">
    <w:name w:val="Header Char"/>
    <w:basedOn w:val="1772"/>
    <w:link w:val="1800"/>
    <w:uiPriority w:val="99"/>
    <w:pPr>
      <w:pBdr/>
      <w:spacing/>
      <w:ind/>
    </w:pPr>
  </w:style>
  <w:style w:type="paragraph" w:styleId="1802">
    <w:name w:val="Footer"/>
    <w:basedOn w:val="1762"/>
    <w:link w:val="1803"/>
    <w:uiPriority w:val="99"/>
    <w:unhideWhenUsed/>
    <w:pPr>
      <w:pBdr/>
      <w:tabs>
        <w:tab w:val="center" w:leader="none" w:pos="4844"/>
        <w:tab w:val="right" w:leader="none" w:pos="9689"/>
      </w:tabs>
      <w:spacing w:after="0" w:line="240" w:lineRule="auto"/>
      <w:ind/>
    </w:pPr>
  </w:style>
  <w:style w:type="character" w:styleId="1803">
    <w:name w:val="Footer Char"/>
    <w:basedOn w:val="1772"/>
    <w:link w:val="1802"/>
    <w:uiPriority w:val="99"/>
    <w:pPr>
      <w:pBdr/>
      <w:spacing/>
      <w:ind/>
    </w:pPr>
  </w:style>
  <w:style w:type="paragraph" w:styleId="1804">
    <w:name w:val="Caption"/>
    <w:basedOn w:val="1762"/>
    <w:next w:val="1762"/>
    <w:uiPriority w:val="35"/>
    <w:unhideWhenUsed/>
    <w:qFormat/>
    <w:pPr>
      <w:pBdr/>
      <w:spacing w:after="200" w:line="240" w:lineRule="auto"/>
      <w:ind/>
    </w:pPr>
    <w:rPr>
      <w:i/>
      <w:iCs/>
      <w:color w:val="0e2841" w:themeColor="text2"/>
      <w:sz w:val="18"/>
      <w:szCs w:val="18"/>
    </w:rPr>
  </w:style>
  <w:style w:type="paragraph" w:styleId="1805">
    <w:name w:val="footnote text"/>
    <w:basedOn w:val="1762"/>
    <w:link w:val="1806"/>
    <w:uiPriority w:val="99"/>
    <w:semiHidden/>
    <w:unhideWhenUsed/>
    <w:pPr>
      <w:pBdr/>
      <w:spacing w:after="0" w:line="240" w:lineRule="auto"/>
      <w:ind/>
    </w:pPr>
    <w:rPr>
      <w:sz w:val="20"/>
      <w:szCs w:val="20"/>
    </w:rPr>
  </w:style>
  <w:style w:type="character" w:styleId="1806">
    <w:name w:val="Footnote Text Char"/>
    <w:basedOn w:val="1772"/>
    <w:link w:val="1805"/>
    <w:uiPriority w:val="99"/>
    <w:semiHidden/>
    <w:pPr>
      <w:pBdr/>
      <w:spacing/>
      <w:ind/>
    </w:pPr>
    <w:rPr>
      <w:sz w:val="20"/>
      <w:szCs w:val="20"/>
    </w:rPr>
  </w:style>
  <w:style w:type="character" w:styleId="1807">
    <w:name w:val="footnote reference"/>
    <w:basedOn w:val="1772"/>
    <w:uiPriority w:val="99"/>
    <w:semiHidden/>
    <w:unhideWhenUsed/>
    <w:pPr>
      <w:pBdr/>
      <w:spacing/>
      <w:ind/>
    </w:pPr>
    <w:rPr>
      <w:vertAlign w:val="superscript"/>
    </w:rPr>
  </w:style>
  <w:style w:type="paragraph" w:styleId="1808">
    <w:name w:val="endnote text"/>
    <w:basedOn w:val="1762"/>
    <w:link w:val="1809"/>
    <w:uiPriority w:val="99"/>
    <w:semiHidden/>
    <w:unhideWhenUsed/>
    <w:pPr>
      <w:pBdr/>
      <w:spacing w:after="0" w:line="240" w:lineRule="auto"/>
      <w:ind/>
    </w:pPr>
    <w:rPr>
      <w:sz w:val="20"/>
      <w:szCs w:val="20"/>
    </w:rPr>
  </w:style>
  <w:style w:type="character" w:styleId="1809">
    <w:name w:val="Endnote Text Char"/>
    <w:basedOn w:val="1772"/>
    <w:link w:val="1808"/>
    <w:uiPriority w:val="99"/>
    <w:semiHidden/>
    <w:pPr>
      <w:pBdr/>
      <w:spacing/>
      <w:ind/>
    </w:pPr>
    <w:rPr>
      <w:sz w:val="20"/>
      <w:szCs w:val="20"/>
    </w:rPr>
  </w:style>
  <w:style w:type="character" w:styleId="1810">
    <w:name w:val="endnote reference"/>
    <w:basedOn w:val="1772"/>
    <w:uiPriority w:val="99"/>
    <w:semiHidden/>
    <w:unhideWhenUsed/>
    <w:pPr>
      <w:pBdr/>
      <w:spacing/>
      <w:ind/>
    </w:pPr>
    <w:rPr>
      <w:vertAlign w:val="superscript"/>
    </w:rPr>
  </w:style>
  <w:style w:type="character" w:styleId="1811">
    <w:name w:val="Hyperlink"/>
    <w:basedOn w:val="1772"/>
    <w:uiPriority w:val="99"/>
    <w:unhideWhenUsed/>
    <w:pPr>
      <w:pBdr/>
      <w:spacing/>
      <w:ind/>
    </w:pPr>
    <w:rPr>
      <w:color w:val="0563c1" w:themeColor="hyperlink"/>
      <w:u w:val="single"/>
    </w:rPr>
  </w:style>
  <w:style w:type="character" w:styleId="1812">
    <w:name w:val="FollowedHyperlink"/>
    <w:basedOn w:val="1772"/>
    <w:uiPriority w:val="99"/>
    <w:semiHidden/>
    <w:unhideWhenUsed/>
    <w:pPr>
      <w:pBdr/>
      <w:spacing/>
      <w:ind/>
    </w:pPr>
    <w:rPr>
      <w:color w:val="954f72" w:themeColor="followedHyperlink"/>
      <w:u w:val="single"/>
    </w:rPr>
  </w:style>
  <w:style w:type="paragraph" w:styleId="1813">
    <w:name w:val="toc 1"/>
    <w:basedOn w:val="1762"/>
    <w:next w:val="1762"/>
    <w:uiPriority w:val="39"/>
    <w:unhideWhenUsed/>
    <w:pPr>
      <w:pBdr/>
      <w:spacing w:after="100"/>
      <w:ind/>
    </w:pPr>
  </w:style>
  <w:style w:type="paragraph" w:styleId="1814">
    <w:name w:val="toc 2"/>
    <w:basedOn w:val="1762"/>
    <w:next w:val="1762"/>
    <w:uiPriority w:val="39"/>
    <w:unhideWhenUsed/>
    <w:pPr>
      <w:pBdr/>
      <w:spacing w:after="100"/>
      <w:ind w:left="220"/>
    </w:pPr>
  </w:style>
  <w:style w:type="paragraph" w:styleId="1815">
    <w:name w:val="toc 3"/>
    <w:basedOn w:val="1762"/>
    <w:next w:val="1762"/>
    <w:uiPriority w:val="39"/>
    <w:unhideWhenUsed/>
    <w:pPr>
      <w:pBdr/>
      <w:spacing w:after="100"/>
      <w:ind w:left="440"/>
    </w:pPr>
  </w:style>
  <w:style w:type="paragraph" w:styleId="1816">
    <w:name w:val="toc 4"/>
    <w:basedOn w:val="1762"/>
    <w:next w:val="1762"/>
    <w:uiPriority w:val="39"/>
    <w:unhideWhenUsed/>
    <w:pPr>
      <w:pBdr/>
      <w:spacing w:after="100"/>
      <w:ind w:left="660"/>
    </w:pPr>
  </w:style>
  <w:style w:type="paragraph" w:styleId="1817">
    <w:name w:val="toc 5"/>
    <w:basedOn w:val="1762"/>
    <w:next w:val="1762"/>
    <w:uiPriority w:val="39"/>
    <w:unhideWhenUsed/>
    <w:pPr>
      <w:pBdr/>
      <w:spacing w:after="100"/>
      <w:ind w:left="880"/>
    </w:pPr>
  </w:style>
  <w:style w:type="paragraph" w:styleId="1818">
    <w:name w:val="toc 6"/>
    <w:basedOn w:val="1762"/>
    <w:next w:val="1762"/>
    <w:uiPriority w:val="39"/>
    <w:unhideWhenUsed/>
    <w:pPr>
      <w:pBdr/>
      <w:spacing w:after="100"/>
      <w:ind w:left="1100"/>
    </w:pPr>
  </w:style>
  <w:style w:type="paragraph" w:styleId="1819">
    <w:name w:val="toc 7"/>
    <w:basedOn w:val="1762"/>
    <w:next w:val="1762"/>
    <w:uiPriority w:val="39"/>
    <w:unhideWhenUsed/>
    <w:pPr>
      <w:pBdr/>
      <w:spacing w:after="100"/>
      <w:ind w:left="1320"/>
    </w:pPr>
  </w:style>
  <w:style w:type="paragraph" w:styleId="1820">
    <w:name w:val="toc 8"/>
    <w:basedOn w:val="1762"/>
    <w:next w:val="1762"/>
    <w:uiPriority w:val="39"/>
    <w:unhideWhenUsed/>
    <w:pPr>
      <w:pBdr/>
      <w:spacing w:after="100"/>
      <w:ind w:left="1540"/>
    </w:pPr>
  </w:style>
  <w:style w:type="paragraph" w:styleId="1821">
    <w:name w:val="toc 9"/>
    <w:basedOn w:val="1762"/>
    <w:next w:val="1762"/>
    <w:uiPriority w:val="39"/>
    <w:unhideWhenUsed/>
    <w:pPr>
      <w:pBdr/>
      <w:spacing w:after="100"/>
      <w:ind w:left="1760"/>
    </w:pPr>
  </w:style>
  <w:style w:type="character" w:styleId="1822">
    <w:name w:val="Placeholder Text"/>
    <w:basedOn w:val="1772"/>
    <w:uiPriority w:val="99"/>
    <w:semiHidden/>
    <w:pPr>
      <w:pBdr/>
      <w:spacing/>
      <w:ind/>
    </w:pPr>
    <w:rPr>
      <w:color w:val="666666"/>
    </w:rPr>
  </w:style>
  <w:style w:type="paragraph" w:styleId="1823">
    <w:name w:val="TOC Heading"/>
    <w:uiPriority w:val="39"/>
    <w:unhideWhenUsed/>
    <w:pPr>
      <w:pBdr/>
      <w:spacing/>
      <w:ind/>
    </w:pPr>
  </w:style>
  <w:style w:type="paragraph" w:styleId="1824">
    <w:name w:val="table of figures"/>
    <w:basedOn w:val="1762"/>
    <w:next w:val="1762"/>
    <w:uiPriority w:val="99"/>
    <w:unhideWhenUsed/>
    <w:pPr>
      <w:pBdr/>
      <w:spacing w:after="0" w:afterAutospacing="0"/>
      <w:ind/>
    </w:pPr>
  </w:style>
</w:styles>
</file>

<file path=word/glossary/webSettings.xml><?xml version="1.0" encoding="utf-8"?>
<w:webSettings xmlns:w="http://schemas.openxmlformats.org/wordprocessingml/2006/main">
  <w:optimizeForBrowser/>
</w:webSetting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ONLYOFFICE/9.4.0.129</Application>
  <DocSecurity>0</DocSecurity>
  <ScaleCrop>0</ScaleCrop>
  <HeadingPairs>
    <vt:vector size="0" baseType="variant"/>
  </HeadingPairs>
  <TitlesOfParts>
    <vt:vector size="0" baseType="lpstr"/>
  </TitlesOfParts>
  <Manager/>
  <Company/>
  <LinksUpToDate>0</LinksUpToDate>
  <SharedDoc>0</SharedDoc>
  <HyperlinkBase/>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Management Review Agenda &amp; Report</dc:title>
  <dc:subject>Official ExportableProof Companion Artifact MRART</dc:subject>
  <dc:creator>MessemerTech</dc:creator>
  <cp:keywords/>
  <dc:description>This artifact is part of the official ExportableProof Companion package issued by MessemerTech.</dc:description>
  <cp:revision>7</cp:revision>
  <dcterms:created xsi:type="dcterms:W3CDTF">2013-12-23T23:15:00Z</dcterms:created>
  <dcterms:modified xsi:type="dcterms:W3CDTF">2026-09-01T14:29:16Z</dcterms:modified>
  <cp:category>Plan</cp:category>
</cp:coreProperties>
</file>