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endnotes.xml" ContentType="application/vnd.openxmlformats-officedocument.wordprocessingml.endnotes+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5EDD77B7">
      <w:pPr>
        <w:pBdr/>
        <w:spacing/>
        <w:ind/>
        <w:rPr/>
      </w:pPr>
      <w:r>
        <mc:AlternateContent>
          <mc:Choice Requires="wpg">
            <w:drawing>
              <wp:inline xmlns:wp="http://schemas.openxmlformats.org/drawingml/2006/wordprocessingDrawing" distT="0" distB="0" distL="0" distR="0">
                <wp:extent cx="6400800" cy="1600200"/>
                <wp:effectExtent l="0" t="0" r="0" b="0"/>
                <wp:docPr id="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484213" name=""/>
                        <pic:cNvPicPr>
                          <a:picLocks noChangeAspect="1"/>
                        </pic:cNvPicPr>
                        <pic:nvPr/>
                      </pic:nvPicPr>
                      <pic:blipFill rotWithShape="1">
                        <a:blip r:embed="rId13"/>
                        <a:stretch/>
                      </pic:blipFill>
                      <pic:spPr bwMode="auto">
                        <a:xfrm>
                          <a:off x="0" y="0"/>
                          <a:ext cx="6400798" cy="16001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width:504.00pt;height:126.00pt;mso-wrap-distance-left:0.00pt;mso-wrap-distance-top:0.00pt;mso-wrap-distance-right:0.00pt;mso-wrap-distance-bottom:0.00pt;z-index:1;" stroked="false">
                <v:imagedata r:id="rId13" o:title=""/>
                <o:lock v:ext="edit" rotation="t"/>
              </v:shape>
            </w:pict>
          </mc:Fallback>
        </mc:AlternateContent>
      </w:r>
      <w:r/>
    </w:p>
    <w:p w14:paraId="197DA4AB">
      <w:pPr>
        <w:pBdr/>
        <w:spacing/>
        <w:ind/>
        <w:rPr/>
      </w:pPr>
      <w:r/>
      <w:r/>
    </w:p>
    <w:p w14:paraId="0D74E395">
      <w:pPr>
        <w:pBdr/>
        <w:spacing/>
        <w:ind/>
        <w:rPr/>
      </w:pPr>
      <w:r/>
      <w:r/>
    </w:p>
    <w:p>
      <w:pPr>
        <w:pBdr/>
        <w:spacing/>
        <w:ind/>
        <w:rPr/>
      </w:pPr>
      <w:r/>
      <w:r/>
    </w:p>
    <w:p>
      <w:pPr>
        <w:pBdr/>
        <w:spacing/>
        <w:ind/>
        <w:jc w:val="left"/>
        <w:rPr>
          <w:b/>
          <w:bCs/>
          <w:color w:val="1f4e79"/>
          <w:sz w:val="60"/>
          <w:szCs w:val="60"/>
          <w:highlight w:val="none"/>
        </w:rPr>
      </w:pPr>
      <w:r>
        <w:rPr>
          <w:b/>
          <w:color w:val="1f4e79"/>
          <w:sz w:val="60"/>
        </w:rPr>
        <w:t xml:space="preserve">Information Classification Policy</w:t>
      </w:r>
      <w:r>
        <w:rPr>
          <w:b/>
          <w:bCs/>
          <w:color w:val="1f4e79"/>
          <w:sz w:val="60"/>
          <w:szCs w:val="60"/>
          <w:highlight w:val="none"/>
        </w:rPr>
      </w:r>
      <w:r>
        <w:rPr>
          <w:b/>
          <w:bCs/>
          <w:color w:val="1f4e79"/>
          <w:sz w:val="60"/>
          <w:szCs w:val="60"/>
          <w:highlight w:val="none"/>
        </w:rPr>
      </w:r>
    </w:p>
    <w:p w14:paraId="1715952B">
      <w:pPr>
        <w:pBdr/>
        <w:spacing/>
        <w:ind/>
        <w:jc w:val="left"/>
        <w:rPr/>
      </w:pPr>
      <w:r>
        <w:t xml:space="preserve">Official Companion Artifact</w:t>
      </w:r>
      <w:r/>
    </w:p>
    <w:p w14:paraId="5A4A9E3A">
      <w:pPr>
        <w:pBdr/>
        <w:spacing/>
        <w:ind/>
        <w:jc w:val="left"/>
        <w:rPr/>
      </w:pPr>
      <w:r/>
      <w:r/>
    </w:p>
    <w:p>
      <w:pPr>
        <w:pBdr/>
        <w:spacing/>
        <w:ind/>
        <w:rPr>
          <w:highlight w:val="none"/>
        </w:rPr>
      </w:pPr>
      <w:r>
        <w:t xml:space="preserve">This is a fictional Arcfield worked example of INFO-CLASS-POL-001. It states operating rules for Information Classification Policy. The cover status is not a real management-team approval and not a certification statement. New numerical and method choices are EXAMPLE_DECISION and pending review. They are not ISO (International Organization for Standardization)/IEC 27001:2022 obligations and not a recovered Artifact Candidate page.</w:t>
      </w:r>
      <w:r>
        <w:rPr>
          <w:highlight w:val="none"/>
        </w:rPr>
      </w:r>
      <w:r>
        <w:rPr>
          <w:highlight w:val="none"/>
        </w:rPr>
      </w:r>
    </w:p>
    <w:tbl>
      <w:tblPr>
        <w:tblStyle w:val="1033"/>
        <w:tblW w:type="dxa" w:w="10080"/>
        <w:jc w:val="left"/>
        <w:tblLayout w:type="fixed"/>
        <w:tblLook w:firstColumn="1" w:firstRow="1" w:lastColumn="0" w:lastRow="0" w:noHBand="0" w:noVBand="1" w:val="04A0"/>
      </w:tblPr>
      <w:tblGrid>
        <w:gridCol w:w="2296"/>
        <w:gridCol w:w="7784"/>
      </w:tblGrid>
      <w:tr>
        <w:trPr>
          <w:tblHeader/>
          <w:cantSplit/>
        </w:trPr>
        <w:tc>
          <w:tcPr>
            <w:tcW w:type="dxa" w:w="2296"/>
            <w:shd w:fill="F7F9FC"/>
          </w:tcPr>
          <w:p>
            <w:r/>
            <w:r>
              <w:rPr>
                <w:b/>
                <w:color w:val="1F6FEB"/>
                <w:sz w:val="18"/>
              </w:rPr>
              <w:t>Field</w:t>
            </w:r>
          </w:p>
        </w:tc>
        <w:tc>
          <w:tcPr>
            <w:tcW w:type="dxa" w:w="7784"/>
            <w:shd w:fill="F7F9FC"/>
          </w:tcPr>
          <w:p>
            <w:r/>
            <w:r>
              <w:rPr>
                <w:b/>
                <w:color w:val="1F6FEB"/>
                <w:sz w:val="18"/>
              </w:rPr>
              <w:t>Value</w:t>
            </w:r>
          </w:p>
        </w:tc>
      </w:tr>
      <w:tr>
        <w:trPr>
          <w:cantSplit/>
        </w:trPr>
        <w:tc>
          <w:tcPr>
            <w:tcW w:type="dxa" w:w="2296"/>
          </w:tcPr>
          <w:p>
            <w:r/>
            <w:r>
              <w:rPr>
                <w:b w:val="0"/>
                <w:color w:val="1F2328"/>
                <w:sz w:val="18"/>
              </w:rPr>
              <w:t>Organization</w:t>
            </w:r>
          </w:p>
        </w:tc>
        <w:tc>
          <w:tcPr>
            <w:tcW w:type="dxa" w:w="7784"/>
          </w:tcPr>
          <w:p>
            <w:r/>
            <w:r>
              <w:rPr>
                <w:b w:val="0"/>
                <w:color w:val="1F2328"/>
                <w:sz w:val="18"/>
              </w:rPr>
              <w:t>Arcfield</w:t>
            </w:r>
          </w:p>
        </w:tc>
      </w:tr>
      <w:tr>
        <w:trPr>
          <w:cantSplit/>
        </w:trPr>
        <w:tc>
          <w:tcPr>
            <w:tcW w:type="dxa" w:w="2296"/>
          </w:tcPr>
          <w:p>
            <w:r/>
            <w:r>
              <w:rPr>
                <w:b w:val="0"/>
                <w:color w:val="1F2328"/>
                <w:sz w:val="18"/>
              </w:rPr>
              <w:t>Version</w:t>
            </w:r>
          </w:p>
        </w:tc>
        <w:tc>
          <w:tcPr>
            <w:tcW w:type="dxa" w:w="7784"/>
          </w:tcPr>
          <w:p>
            <w:r/>
            <w:r>
              <w:rPr>
                <w:b w:val="0"/>
                <w:color w:val="1F2328"/>
                <w:sz w:val="18"/>
              </w:rPr>
              <w:t>1.1</w:t>
            </w:r>
          </w:p>
        </w:tc>
      </w:tr>
      <w:tr>
        <w:trPr>
          <w:cantSplit/>
        </w:trPr>
        <w:tc>
          <w:tcPr>
            <w:tcW w:type="dxa" w:w="2296"/>
          </w:tcPr>
          <w:p>
            <w:r/>
            <w:r>
              <w:rPr>
                <w:b w:val="0"/>
                <w:color w:val="1F2328"/>
                <w:sz w:val="18"/>
              </w:rPr>
              <w:t>Classification</w:t>
            </w:r>
          </w:p>
        </w:tc>
        <w:tc>
          <w:tcPr>
            <w:tcW w:type="dxa" w:w="7784"/>
          </w:tcPr>
          <w:p>
            <w:r/>
            <w:r>
              <w:rPr>
                <w:b w:val="0"/>
                <w:color w:val="1F2328"/>
                <w:sz w:val="18"/>
              </w:rPr>
              <w:t>Internal</w:t>
            </w:r>
          </w:p>
        </w:tc>
      </w:tr>
    </w:tbl>
    <w:p>
      <w:r>
        <w:br w:type="page"/>
      </w:r>
    </w:p>
    <w:p>
      <w:pPr>
        <w:keepNext w:val="true"/>
        <w:keepLines w:val="true"/>
        <w:pBdr/>
        <w:spacing w:after="0" w:before="480"/>
        <w:ind/>
        <w:outlineLvl w:val="9"/>
      </w:pPr>
      <w:r>
        <w:rPr>
          <w:rFonts w:asciiTheme="majorHAnsi" w:hAnsiTheme="majorHAnsi" w:eastAsiaTheme="majorEastAsia" w:cstheme="majorBidi"/>
          <w:b/>
          <w:bCs/>
          <w:color w:val="365f91" w:themeColor="accent1" w:themeShade="BF"/>
          <w:sz w:val="28"/>
          <w:szCs w:val="28"/>
        </w:rPr>
        <w:t>Document Control</w:t>
      </w:r>
    </w:p>
    <w:tbl>
      <w:tblPr>
        <w:tblStyle w:val="1033"/>
        <w:tblW w:w="10080" w:type="dxa"/>
        <w:jc w:val="left"/>
        <w:tblBorders/>
        <w:tblLayout w:type="fixed"/>
        <w:tblLook w:val="04A0" w:firstRow="1" w:lastRow="0" w:firstColumn="1" w:lastColumn="0" w:noHBand="0" w:noVBand="1"/>
      </w:tblPr>
      <w:tblGrid>
        <w:gridCol w:w="2296"/>
        <w:gridCol w:w="7784"/>
      </w:tblGrid>
      <w:tr>
        <w:trPr/>
        <w:tc>
          <w:tcPr>
            <w:tcBorders/>
            <w:tcW w:w="2296" w:type="dxa"/>
            <w:shd w:fill="F7F9FC"/>
          </w:tcPr>
          <w:p>
            <w:pPr>
              <w:pBdr/>
              <w:spacing/>
              <w:ind/>
              <w:rPr/>
            </w:pPr>
            <w:r/>
            <w:r>
              <w:rPr>
                <w:b/>
                <w:color w:val="1F6FEB"/>
                <w:sz w:val="18"/>
              </w:rPr>
              <w:t>Field</w:t>
            </w:r>
          </w:p>
        </w:tc>
        <w:tc>
          <w:tcPr>
            <w:tcBorders/>
            <w:tcW w:w="7784" w:type="dxa"/>
            <w:shd w:fill="F7F9FC"/>
          </w:tcPr>
          <w:p>
            <w:pPr>
              <w:pBdr/>
              <w:spacing/>
              <w:ind/>
              <w:rPr/>
            </w:pPr>
            <w:r/>
            <w:r>
              <w:rPr>
                <w:b/>
                <w:color w:val="1F6FEB"/>
                <w:sz w:val="18"/>
              </w:rPr>
              <w:t>Value</w:t>
            </w:r>
          </w:p>
        </w:tc>
      </w:tr>
      <w:tr>
        <w:trPr/>
        <w:tc>
          <w:tcPr>
            <w:tcBorders/>
            <w:tcW w:w="2296" w:type="dxa"/>
          </w:tcPr>
          <w:p>
            <w:pPr>
              <w:pBdr/>
              <w:spacing/>
              <w:ind/>
              <w:rPr/>
            </w:pPr>
            <w:r/>
            <w:r>
              <w:rPr>
                <w:b w:val="0"/>
                <w:color w:val="1F2328"/>
                <w:sz w:val="18"/>
              </w:rPr>
              <w:t>Organization</w:t>
            </w:r>
          </w:p>
        </w:tc>
        <w:tc>
          <w:tcPr>
            <w:tcBorders/>
            <w:tcW w:w="7784" w:type="dxa"/>
          </w:tcPr>
          <w:p>
            <w:pPr>
              <w:pBdr/>
              <w:spacing/>
              <w:ind/>
              <w:rPr/>
            </w:pPr>
            <w:r/>
            <w:r>
              <w:rPr>
                <w:b w:val="0"/>
                <w:color w:val="1F2328"/>
                <w:sz w:val="18"/>
              </w:rPr>
              <w:t>Arcfield</w:t>
            </w:r>
          </w:p>
        </w:tc>
      </w:tr>
      <w:tr>
        <w:trPr/>
        <w:tc>
          <w:tcPr>
            <w:tcBorders/>
            <w:tcW w:w="2296" w:type="dxa"/>
          </w:tcPr>
          <w:p>
            <w:pPr>
              <w:pBdr/>
              <w:spacing/>
              <w:ind/>
              <w:rPr/>
            </w:pPr>
            <w:r/>
            <w:r>
              <w:rPr>
                <w:b w:val="0"/>
                <w:color w:val="1F2328"/>
                <w:sz w:val="18"/>
              </w:rPr>
              <w:t>Version</w:t>
            </w:r>
          </w:p>
        </w:tc>
        <w:tc>
          <w:tcPr>
            <w:tcBorders/>
            <w:tcW w:w="7784" w:type="dxa"/>
          </w:tcPr>
          <w:p>
            <w:pPr>
              <w:pBdr/>
              <w:spacing/>
              <w:ind/>
              <w:rPr/>
            </w:pPr>
            <w:r/>
            <w:r>
              <w:rPr>
                <w:b w:val="0"/>
                <w:color w:val="1F2328"/>
                <w:sz w:val="18"/>
              </w:rPr>
              <w:t>1.1</w:t>
            </w:r>
          </w:p>
        </w:tc>
      </w:tr>
      <w:tr>
        <w:trPr/>
        <w:tc>
          <w:tcPr>
            <w:tcBorders/>
            <w:tcW w:w="2296" w:type="dxa"/>
          </w:tcPr>
          <w:p>
            <w:pPr>
              <w:pBdr/>
              <w:spacing/>
              <w:ind/>
              <w:rPr/>
            </w:pPr>
            <w:r/>
            <w:r>
              <w:rPr>
                <w:b w:val="0"/>
                <w:color w:val="1F2328"/>
                <w:sz w:val="18"/>
              </w:rPr>
              <w:t>Status</w:t>
            </w:r>
          </w:p>
        </w:tc>
        <w:tc>
          <w:tcPr>
            <w:tcBorders/>
            <w:tcW w:w="7784" w:type="dxa"/>
          </w:tcPr>
          <w:p>
            <w:pPr>
              <w:pBdr/>
              <w:spacing/>
              <w:ind/>
              <w:rPr/>
            </w:pPr>
            <w:r/>
            <w:r>
              <w:rPr>
                <w:b w:val="0"/>
                <w:color w:val="1F2328"/>
                <w:sz w:val="18"/>
              </w:rPr>
              <w:t>Approved</w:t>
            </w:r>
          </w:p>
        </w:tc>
      </w:tr>
      <w:tr>
        <w:trPr/>
        <w:tc>
          <w:tcPr>
            <w:tcBorders/>
            <w:tcW w:w="2296" w:type="dxa"/>
          </w:tcPr>
          <w:p>
            <w:pPr>
              <w:pBdr/>
              <w:spacing/>
              <w:ind/>
              <w:rPr/>
            </w:pPr>
            <w:r/>
            <w:r>
              <w:rPr>
                <w:b w:val="0"/>
                <w:color w:val="1F2328"/>
                <w:sz w:val="18"/>
              </w:rPr>
              <w:t>Owner</w:t>
            </w:r>
          </w:p>
        </w:tc>
        <w:tc>
          <w:tcPr>
            <w:tcBorders/>
            <w:tcW w:w="7784" w:type="dxa"/>
          </w:tcPr>
          <w:p>
            <w:pPr>
              <w:pBdr/>
              <w:spacing/>
              <w:ind/>
              <w:rPr/>
            </w:pPr>
            <w:r/>
            <w:r>
              <w:rPr>
                <w:b w:val="0"/>
                <w:color w:val="1F2328"/>
                <w:sz w:val="18"/>
              </w:rPr>
              <w:t>ISMS Manager</w:t>
            </w:r>
          </w:p>
        </w:tc>
      </w:tr>
      <w:tr>
        <w:trPr/>
        <w:tc>
          <w:tcPr>
            <w:tcBorders/>
            <w:tcW w:w="2296" w:type="dxa"/>
          </w:tcPr>
          <w:p>
            <w:pPr>
              <w:pBdr/>
              <w:spacing/>
              <w:ind/>
              <w:rPr/>
            </w:pPr>
            <w:r/>
            <w:r>
              <w:rPr>
                <w:b w:val="0"/>
                <w:color w:val="1F2328"/>
                <w:sz w:val="18"/>
              </w:rPr>
              <w:t>Approver</w:t>
            </w:r>
          </w:p>
        </w:tc>
        <w:tc>
          <w:tcPr>
            <w:tcBorders/>
            <w:tcW w:w="7784" w:type="dxa"/>
          </w:tcPr>
          <w:p>
            <w:pPr>
              <w:pBdr/>
              <w:spacing/>
              <w:ind/>
              <w:rPr/>
            </w:pPr>
            <w:r/>
            <w:r>
              <w:rPr>
                <w:b w:val="0"/>
                <w:color w:val="1F2328"/>
                <w:sz w:val="18"/>
              </w:rPr>
              <w:t>Security Lead</w:t>
            </w:r>
          </w:p>
        </w:tc>
      </w:tr>
      <w:tr>
        <w:trPr/>
        <w:tc>
          <w:tcPr>
            <w:tcBorders/>
            <w:tcW w:w="2296" w:type="dxa"/>
            <w:vMerge w:val="restart"/>
          </w:tcPr>
          <w:p w14:paraId="31D2F00F">
            <w:pPr>
              <w:pBdr/>
              <w:spacing/>
              <w:ind/>
              <w:rPr>
                <w:b/>
              </w:rPr>
            </w:pPr>
            <w:r/>
            <w:r>
              <w:rPr>
                <w:b w:val="0"/>
                <w:color w:val="1F2328"/>
                <w:sz w:val="18"/>
              </w:rPr>
              <w:t>Classification</w:t>
            </w:r>
          </w:p>
        </w:tc>
        <w:tc>
          <w:tcPr>
            <w:tcBorders/>
            <w:tcW w:w="7784" w:type="dxa"/>
            <w:vMerge w:val="restart"/>
          </w:tcPr>
          <w:p w14:paraId="746BB0DF">
            <w:pPr>
              <w:pBdr/>
              <w:spacing/>
              <w:ind/>
              <w:rPr/>
            </w:pPr>
            <w:r/>
            <w:r>
              <w:rPr>
                <w:b w:val="0"/>
                <w:color w:val="1F2328"/>
                <w:sz w:val="18"/>
              </w:rPr>
              <w:t>Internal</w:t>
            </w:r>
          </w:p>
        </w:tc>
      </w:tr>
      <w:tr>
        <w:trPr/>
        <w:tc>
          <w:tcPr>
            <w:tcBorders/>
            <w:tcW w:w="2296" w:type="dxa"/>
            <w:vMerge w:val="restart"/>
          </w:tcPr>
          <w:p w14:paraId="7A2C2A7F">
            <w:pPr>
              <w:pBdr/>
              <w:spacing/>
              <w:ind/>
              <w:rPr>
                <w:b/>
              </w:rPr>
            </w:pPr>
            <w:r/>
            <w:r>
              <w:rPr>
                <w:b w:val="0"/>
                <w:color w:val="1F2328"/>
                <w:sz w:val="18"/>
              </w:rPr>
              <w:t>Effective Date</w:t>
            </w:r>
          </w:p>
        </w:tc>
        <w:tc>
          <w:tcPr>
            <w:tcBorders/>
            <w:tcW w:w="7784" w:type="dxa"/>
            <w:vMerge w:val="restart"/>
          </w:tcPr>
          <w:p w14:paraId="7DB152E7">
            <w:pPr>
              <w:pBdr/>
              <w:spacing/>
              <w:ind/>
              <w:rPr/>
            </w:pPr>
            <w:r/>
            <w:r>
              <w:rPr>
                <w:b w:val="0"/>
                <w:color w:val="1F2328"/>
                <w:sz w:val="18"/>
              </w:rPr>
              <w:t>2026-09-11</w:t>
            </w:r>
          </w:p>
        </w:tc>
      </w:tr>
      <w:tr>
        <w:trPr/>
        <w:tc>
          <w:tcPr>
            <w:tcBorders/>
            <w:tcW w:w="2296" w:type="dxa"/>
            <w:vMerge w:val="restart"/>
          </w:tcPr>
          <w:p w14:paraId="25D44444">
            <w:pPr>
              <w:pBdr/>
              <w:spacing/>
              <w:ind/>
              <w:rPr>
                <w:b/>
              </w:rPr>
            </w:pPr>
            <w:r/>
            <w:r>
              <w:rPr>
                <w:b w:val="0"/>
                <w:color w:val="1F2328"/>
                <w:sz w:val="18"/>
              </w:rPr>
              <w:t>Next Review Date</w:t>
            </w:r>
          </w:p>
        </w:tc>
        <w:tc>
          <w:tcPr>
            <w:tcBorders/>
            <w:tcW w:w="7784" w:type="dxa"/>
            <w:vMerge w:val="restart"/>
          </w:tcPr>
          <w:p w14:paraId="79776442">
            <w:pPr>
              <w:pBdr/>
              <w:spacing/>
              <w:ind/>
              <w:rPr/>
            </w:pPr>
            <w:r/>
            <w:r>
              <w:rPr>
                <w:b w:val="0"/>
                <w:color w:val="1F2328"/>
                <w:sz w:val="18"/>
              </w:rPr>
              <w:t>2027-09-11</w:t>
            </w:r>
          </w:p>
        </w:tc>
      </w:tr>
    </w:tbl>
    <w:p>
      <w:r>
        <w:br w:type="page"/>
      </w:r>
    </w:p>
    <w:p>
      <w:pPr>
        <w:keepNext w:val="true"/>
        <w:keepLines w:val="true"/>
        <w:pBdr/>
        <w:spacing w:after="0" w:before="480"/>
        <w:ind/>
        <w:outlineLvl w:val="9"/>
      </w:pPr>
      <w:r>
        <w:rPr>
          <w:rFonts w:asciiTheme="majorHAnsi" w:hAnsiTheme="majorHAnsi" w:eastAsiaTheme="majorEastAsia" w:cstheme="majorBidi"/>
          <w:b/>
          <w:bCs/>
          <w:color w:val="365f91" w:themeColor="accent1" w:themeShade="BF"/>
          <w:sz w:val="28"/>
          <w:szCs w:val="28"/>
        </w:rPr>
        <w:t>Revision history</w:t>
      </w:r>
    </w:p>
    <w:p>
      <w:r>
        <w:rPr>
          <w:b w:val="0"/>
        </w:rPr>
        <w:t>A published change is a new row. Do not edit an approved version in place.</w:t>
      </w:r>
    </w:p>
    <w:tbl>
      <w:tblPr>
        <w:tblStyle w:val="1033"/>
        <w:tblW w:type="dxa" w:w="10080"/>
        <w:jc w:val="left"/>
        <w:tblLayout w:type="fixed"/>
        <w:tblLook w:firstColumn="1" w:firstRow="1" w:lastColumn="0" w:lastRow="0" w:noHBand="0" w:noVBand="1" w:val="04A0"/>
      </w:tblPr>
      <w:tblGrid>
        <w:gridCol w:w="1288"/>
        <w:gridCol w:w="1720"/>
        <w:gridCol w:w="5505"/>
        <w:gridCol w:w="1567"/>
      </w:tblGrid>
      <w:tr>
        <w:trPr>
          <w:tblHeader/>
          <w:cantSplit/>
        </w:trPr>
        <w:tc>
          <w:tcPr>
            <w:tcW w:type="dxa" w:w="1288"/>
            <w:shd w:fill="F7F9FC"/>
          </w:tcPr>
          <w:p>
            <w:r/>
            <w:r>
              <w:rPr>
                <w:b/>
                <w:color w:val="1F6FEB"/>
                <w:sz w:val="18"/>
              </w:rPr>
              <w:t>Version</w:t>
            </w:r>
          </w:p>
        </w:tc>
        <w:tc>
          <w:tcPr>
            <w:tcW w:type="dxa" w:w="1720"/>
            <w:shd w:fill="F7F9FC"/>
          </w:tcPr>
          <w:p>
            <w:r/>
            <w:r>
              <w:rPr>
                <w:b/>
                <w:color w:val="1F6FEB"/>
                <w:sz w:val="18"/>
              </w:rPr>
              <w:t>Date</w:t>
            </w:r>
          </w:p>
        </w:tc>
        <w:tc>
          <w:tcPr>
            <w:tcW w:type="dxa" w:w="5505"/>
            <w:shd w:fill="F7F9FC"/>
          </w:tcPr>
          <w:p>
            <w:r/>
            <w:r>
              <w:rPr>
                <w:b/>
                <w:color w:val="1F6FEB"/>
                <w:sz w:val="18"/>
              </w:rPr>
              <w:t>Change</w:t>
            </w:r>
          </w:p>
        </w:tc>
        <w:tc>
          <w:tcPr>
            <w:tcW w:type="dxa" w:w="1567"/>
            <w:shd w:fill="F7F9FC"/>
          </w:tcPr>
          <w:p>
            <w:r/>
            <w:r>
              <w:rPr>
                <w:b/>
                <w:color w:val="1F6FEB"/>
                <w:sz w:val="18"/>
              </w:rPr>
              <w:t>Approved by</w:t>
            </w:r>
          </w:p>
        </w:tc>
      </w:tr>
      <w:tr>
        <w:trPr>
          <w:cantSplit/>
        </w:trPr>
        <w:tc>
          <w:tcPr>
            <w:tcW w:type="dxa" w:w="1288"/>
          </w:tcPr>
          <w:p>
            <w:r/>
            <w:r>
              <w:rPr>
                <w:b w:val="0"/>
                <w:color w:val="1F2328"/>
                <w:sz w:val="18"/>
              </w:rPr>
              <w:t>1.0</w:t>
            </w:r>
          </w:p>
        </w:tc>
        <w:tc>
          <w:tcPr>
            <w:tcW w:type="dxa" w:w="1720"/>
          </w:tcPr>
          <w:p>
            <w:r/>
            <w:r>
              <w:rPr>
                <w:b w:val="0"/>
                <w:color w:val="1F2328"/>
                <w:sz w:val="18"/>
              </w:rPr>
              <w:t>2026-08-29</w:t>
            </w:r>
          </w:p>
        </w:tc>
        <w:tc>
          <w:tcPr>
            <w:tcW w:type="dxa" w:w="5505"/>
          </w:tcPr>
          <w:p>
            <w:r/>
            <w:r>
              <w:rPr>
                <w:b w:val="0"/>
                <w:color w:val="1F2328"/>
                <w:sz w:val="18"/>
              </w:rPr>
              <w:t>Initial Arcfield Platform publication.</w:t>
            </w:r>
          </w:p>
        </w:tc>
        <w:tc>
          <w:tcPr>
            <w:tcW w:type="dxa" w:w="1567"/>
          </w:tcPr>
          <w:p>
            <w:r/>
            <w:r>
              <w:rPr>
                <w:b w:val="0"/>
                <w:color w:val="1F2328"/>
                <w:sz w:val="18"/>
              </w:rPr>
              <w:t>Security Lead</w:t>
            </w:r>
          </w:p>
        </w:tc>
      </w:tr>
      <w:tr>
        <w:trPr>
          <w:cantSplit/>
        </w:trPr>
        <w:tc>
          <w:tcPr>
            <w:tcW w:type="dxa" w:w="1288"/>
          </w:tcPr>
          <w:p>
            <w:r/>
            <w:r>
              <w:rPr>
                <w:b w:val="0"/>
                <w:color w:val="1F2328"/>
                <w:sz w:val="18"/>
              </w:rPr>
              <w:t>1.1</w:t>
            </w:r>
          </w:p>
        </w:tc>
        <w:tc>
          <w:tcPr>
            <w:tcW w:type="dxa" w:w="1720"/>
          </w:tcPr>
          <w:p>
            <w:r/>
            <w:r>
              <w:rPr>
                <w:b w:val="0"/>
                <w:color w:val="1F2328"/>
                <w:sz w:val="18"/>
              </w:rPr>
              <w:t>2026-09-11</w:t>
            </w:r>
          </w:p>
        </w:tc>
        <w:tc>
          <w:tcPr>
            <w:tcW w:type="dxa" w:w="5505"/>
          </w:tcPr>
          <w:p>
            <w:r/>
            <w:r>
              <w:rPr>
                <w:b w:val="0"/>
                <w:color w:val="1F2328"/>
                <w:sz w:val="18"/>
              </w:rPr>
              <w:t>Approved Arcfield worked example after the 11 September 2026 internal audit.</w:t>
            </w:r>
          </w:p>
        </w:tc>
        <w:tc>
          <w:tcPr>
            <w:tcW w:type="dxa" w:w="1567"/>
          </w:tcPr>
          <w:p>
            <w:r/>
            <w:r>
              <w:rPr>
                <w:b w:val="0"/>
                <w:color w:val="1F2328"/>
                <w:sz w:val="18"/>
              </w:rPr>
              <w:t>Security Lead</w:t>
            </w:r>
          </w:p>
        </w:tc>
      </w:tr>
    </w:tbl>
    <w:p>
      <w:pPr>
        <w:spacing w:before="0" w:after="120"/>
      </w:pPr>
    </w:p>
    <w:p w14:paraId="0A20EDB8">
      <w:pPr>
        <w:pBdr/>
        <w:spacing/>
        <w:ind/>
        <w:rPr/>
      </w:pPr>
      <w:r>
        <w:rPr>
          <w:highlight w:val="none"/>
        </w:rPr>
      </w:r>
      <w:r>
        <w:rPr>
          <w:highlight w:val="none"/>
        </w:rPr>
      </w:r>
      <w:r/>
    </w:p>
    <w:p w14:paraId="7F176C86">
      <w:pPr>
        <w:pBdr/>
        <w:spacing/>
        <w:ind/>
        <w:rPr>
          <w:highlight w:val="none"/>
        </w:rPr>
      </w:pPr>
      <w:r>
        <w:rPr>
          <w:highlight w:val="none"/>
        </w:rPr>
      </w:r>
      <w:r>
        <w:rPr>
          <w:highlight w:val="none"/>
        </w:rPr>
      </w:r>
      <w:r>
        <w:rPr>
          <w:highlight w:val="none"/>
        </w:rPr>
      </w:r>
    </w:p>
    <w:p w14:paraId="39C4E518">
      <w:pPr>
        <w:pBdr/>
        <w:spacing/>
        <w:ind/>
        <w:rPr>
          <w:highlight w:val="none"/>
        </w:rPr>
      </w:pPr>
      <w:r>
        <w:rPr>
          <w:highlight w:val="none"/>
        </w:rPr>
      </w:r>
      <w:r>
        <w:rPr>
          <w:highlight w:val="none"/>
        </w:rPr>
      </w:r>
      <w:r>
        <w:rPr>
          <w:highlight w:val="none"/>
        </w:rPr>
      </w:r>
    </w:p>
    <w:p>
      <w:pPr>
        <w:pBdr/>
        <w:spacing/>
        <w:ind/>
        <w:rPr>
          <w:highlight w:val="none"/>
        </w:rPr>
      </w:pPr>
      <w:r>
        <w:br w:type="page" w:clear="all"/>
      </w:r>
      <w:r>
        <w:rPr>
          <w:highlight w:val="none"/>
        </w:rPr>
      </w:r>
      <w:r>
        <w:rPr>
          <w:highlight w:val="none"/>
        </w:rPr>
      </w:r>
    </w:p>
    <w:p>
      <w:pPr>
        <w:pBdr/>
        <w:spacing/>
        <w:ind/>
        <w:rPr>
          <w:rFonts w:ascii="Calibri" w:hAnsi="Calibri" w:eastAsia="Calibri" w:cs="Calibri"/>
          <w:b/>
          <w:bCs/>
          <w:color w:val="376092" w:themeColor="accent1" w:themeShade="BF"/>
          <w:sz w:val="28"/>
          <w:szCs w:val="28"/>
          <w14:ligatures w14:val="none"/>
        </w:rPr>
      </w:pPr>
      <w:r>
        <w:rPr>
          <w:rFonts w:ascii="Calibri" w:hAnsi="Calibri" w:eastAsia="Calibri" w:cs="Calibri"/>
          <w:b/>
          <w:bCs/>
          <w:color w:val="376092" w:themeColor="accent1" w:themeShade="BF"/>
          <w:sz w:val="28"/>
          <w:szCs w:val="28"/>
        </w:rPr>
        <w:t xml:space="preserve">Legal Disclaimer</w:t>
      </w:r>
      <w:r>
        <w:rPr>
          <w:rFonts w:ascii="Calibri" w:hAnsi="Calibri" w:eastAsia="Calibri" w:cs="Calibri"/>
          <w:b/>
          <w:bCs/>
          <w:color w:val="376092" w:themeColor="accent1" w:themeShade="BF"/>
          <w:sz w:val="28"/>
          <w:szCs w:val="28"/>
          <w14:ligatures w14:val="none"/>
        </w:rPr>
      </w:r>
      <w:r>
        <w:rPr>
          <w:rFonts w:ascii="Calibri" w:hAnsi="Calibri" w:eastAsia="Calibri" w:cs="Calibri"/>
          <w:b/>
          <w:bCs/>
          <w:color w:val="376092" w:themeColor="accent1" w:themeShade="BF"/>
          <w:sz w:val="28"/>
          <w:szCs w:val="28"/>
          <w14:ligatures w14:val="none"/>
        </w:rPr>
      </w:r>
    </w:p>
    <w:p>
      <w:pPr>
        <w:pBdr/>
        <w:spacing/>
        <w:ind/>
        <w:rPr/>
      </w:pPr>
      <w:r>
        <w:t xml:space="preserve">This companion artifact is provided for implementation support and does not constitute legal advice. Validate all controls, evidence and records against your organisation, scope, risk context and applicable requirements.</w:t>
      </w:r>
      <w:r/>
    </w:p>
    <w:p>
      <w:pPr>
        <w:pBdr/>
        <w:spacing/>
        <w:ind/>
        <w:rPr/>
      </w:pPr>
      <w:r>
        <w:t xml:space="preserve">© </w:t>
      </w:r>
      <w:r>
        <w:rPr>
          <w:lang w:val="es-ES"/>
        </w:rPr>
        <w:t xml:space="preserve">2026. MessemerTech O</w:t>
      </w:r>
      <w:r>
        <w:rPr>
          <w:lang w:val="es-ES"/>
        </w:rPr>
        <w:t xml:space="preserve">Ü</w:t>
      </w:r>
      <w:r>
        <w:t xml:space="preserve">. ExportableProof is an imprint of MessemerTech. All rights reserved.</w:t>
      </w:r>
      <w:r/>
    </w:p>
    <w:p>
      <w:pPr>
        <w:pBdr/>
        <w:spacing/>
        <w:ind/>
        <w:rPr/>
      </w:pPr>
      <w:r>
        <w:br w:type="page" w:clear="all"/>
      </w:r>
      <w:r/>
    </w:p>
    <w:p>
      <w:pPr>
        <w:pStyle w:val="989"/>
        <w:suppressLineNumbers w:val="false"/>
        <w:pBdr>
          <w:top w:val="none" w:color="000000" w:sz="4" w:space="0"/>
          <w:left w:val="none" w:color="000000" w:sz="4" w:space="0"/>
          <w:bottom w:val="none" w:color="000000" w:sz="8" w:space="0"/>
          <w:right w:val="none" w:color="000000" w:sz="4" w:space="0"/>
          <w:between w:val="none" w:color="000000" w:sz="4" w:space="0"/>
        </w:pBdr>
        <w:spacing/>
        <w:ind/>
        <w:rPr>
          <w:b/>
          <w:bCs/>
          <w:color w:val="376092" w:themeColor="accent1" w:themeShade="BF"/>
          <w:sz w:val="28"/>
          <w:szCs w:val="28"/>
        </w:rPr>
      </w:pPr>
      <w:r>
        <w:rPr>
          <w:b/>
          <w:bCs/>
          <w:color w:val="376092" w:themeColor="accent1" w:themeShade="BF"/>
          <w:sz w:val="28"/>
          <w:szCs w:val="28"/>
        </w:rPr>
        <w:t xml:space="preserve">Table of </w:t>
      </w:r>
      <w:r>
        <w:rPr>
          <w:b/>
          <w:bCs/>
          <w:color w:val="376092" w:themeColor="accent1" w:themeShade="BF"/>
          <w:sz w:val="28"/>
          <w:szCs w:val="28"/>
        </w:rPr>
        <w:t xml:space="preserve">Contents</w:t>
      </w:r>
      <w:r>
        <w:rPr>
          <w:b/>
          <w:bCs/>
          <w:color w:val="376092" w:themeColor="accent1" w:themeShade="BF"/>
          <w:sz w:val="28"/>
          <w:szCs w:val="28"/>
        </w:rPr>
      </w:r>
      <w:r>
        <w:rPr>
          <w:b/>
          <w:bCs/>
          <w:color w:val="376092" w:themeColor="accent1" w:themeShade="BF"/>
          <w:sz w:val="28"/>
          <w:szCs w:val="28"/>
        </w:rPr>
      </w:r>
    </w:p>
    <w:sdt>
      <w:sdtPr>
        <w15:appearance w15:val="boundingBox"/>
        <w:placeholder>
          <w:docPart w:val="DefaultPlaceholder_TEXT"/>
        </w:placeholder>
        <w:docPartObj>
          <w:docPartGallery w:val="Table of Contents"/>
          <w:docPartUnique w:val="true"/>
        </w:docPartObj>
        <w:rPr/>
      </w:sdtPr>
      <w:sdtContent>
        <w:p w14:paraId="550DFED3">
          <w:pPr>
            <w:pStyle w:val="957"/>
            <w:pBdr/>
            <w:tabs>
              <w:tab w:val="right" w:leader="dot" w:pos="10080"/>
            </w:tabs>
            <w:spacing/>
            <w:ind/>
            <w:rPr/>
          </w:pPr>
          <w:r>
            <w:fldChar w:fldCharType="begin"/>
          </w:r>
          <w:r>
            <w:instrText xml:space="preserve">TOC \o "1-9" \h </w:instrText>
          </w:r>
          <w:r>
            <w:fldChar w:fldCharType="separate"/>
          </w:r>
          <w:r/>
          <w:r/>
        </w:p>
        <w:p>
          <w:pPr>
            <w:pStyle w:val="957"/>
            <w:tabs>
              <w:tab w:val="right" w:leader="dot" w:pos="10080"/>
            </w:tabs>
          </w:pPr>
          <w:hyperlink w:anchor="_TocRAM001" w:history="1">
            <w:r>
              <w:rPr>
                <w:rStyle w:val="955"/>
              </w:rPr>
              <w:t xml:space="preserve">Policy</w:t>
            </w:r>
            <w:r>
              <w:tab/>
            </w:r>
            <w:r>
              <w:fldChar w:fldCharType="begin"/>
              <w:instrText xml:space="preserve"> PAGEREF _TocRAM001 \h </w:instrText>
              <w:fldChar w:fldCharType="separate"/>
              <w:t xml:space="preserve"> </w:t>
              <w:fldChar w:fldCharType="end"/>
            </w:r>
          </w:hyperlink>
        </w:p>
        <w:p>
          <w:pPr>
            <w:pStyle w:val="958"/>
            <w:tabs>
              <w:tab w:val="right" w:leader="dot" w:pos="10080"/>
            </w:tabs>
          </w:pPr>
          <w:hyperlink w:anchor="_TocRAM002" w:history="1">
            <w:r>
              <w:rPr>
                <w:rStyle w:val="955"/>
              </w:rPr>
              <w:t xml:space="preserve">What this policy is</w:t>
            </w:r>
            <w:r>
              <w:tab/>
            </w:r>
            <w:r>
              <w:fldChar w:fldCharType="begin"/>
              <w:instrText xml:space="preserve"> PAGEREF _TocRAM002 \h </w:instrText>
              <w:fldChar w:fldCharType="separate"/>
              <w:t xml:space="preserve"> </w:t>
              <w:fldChar w:fldCharType="end"/>
            </w:r>
          </w:hyperlink>
        </w:p>
        <w:p>
          <w:pPr>
            <w:pStyle w:val="958"/>
            <w:tabs>
              <w:tab w:val="right" w:leader="dot" w:pos="10080"/>
            </w:tabs>
          </w:pPr>
          <w:hyperlink w:anchor="_TocRAM003" w:history="1">
            <w:r>
              <w:rPr>
                <w:rStyle w:val="955"/>
              </w:rPr>
              <w:t xml:space="preserve">Scope</w:t>
            </w:r>
            <w:r>
              <w:tab/>
            </w:r>
            <w:r>
              <w:fldChar w:fldCharType="begin"/>
              <w:instrText xml:space="preserve"> PAGEREF _TocRAM003 \h </w:instrText>
              <w:fldChar w:fldCharType="separate"/>
              <w:t xml:space="preserve"> </w:t>
              <w:fldChar w:fldCharType="end"/>
            </w:r>
          </w:hyperlink>
        </w:p>
        <w:p>
          <w:pPr>
            <w:pStyle w:val="958"/>
            <w:tabs>
              <w:tab w:val="right" w:leader="dot" w:pos="10080"/>
            </w:tabs>
          </w:pPr>
          <w:hyperlink w:anchor="_TocRAM004" w:history="1">
            <w:r>
              <w:rPr>
                <w:rStyle w:val="955"/>
              </w:rPr>
              <w:t xml:space="preserve">Terms used here</w:t>
            </w:r>
            <w:r>
              <w:tab/>
            </w:r>
            <w:r>
              <w:fldChar w:fldCharType="begin"/>
              <w:instrText xml:space="preserve"> PAGEREF _TocRAM004 \h </w:instrText>
              <w:fldChar w:fldCharType="separate"/>
              <w:t xml:space="preserve"> </w:t>
              <w:fldChar w:fldCharType="end"/>
            </w:r>
          </w:hyperlink>
        </w:p>
        <w:p>
          <w:pPr>
            <w:pStyle w:val="958"/>
            <w:tabs>
              <w:tab w:val="right" w:leader="dot" w:pos="10080"/>
            </w:tabs>
          </w:pPr>
          <w:hyperlink w:anchor="_TocRAM005" w:history="1">
            <w:r>
              <w:rPr>
                <w:rStyle w:val="955"/>
              </w:rPr>
              <w:t xml:space="preserve">Systems, integrations and data</w:t>
            </w:r>
            <w:r>
              <w:tab/>
            </w:r>
            <w:r>
              <w:fldChar w:fldCharType="begin"/>
              <w:instrText xml:space="preserve"> PAGEREF _TocRAM005 \h </w:instrText>
              <w:fldChar w:fldCharType="separate"/>
              <w:t xml:space="preserve"> </w:t>
              <w:fldChar w:fldCharType="end"/>
            </w:r>
          </w:hyperlink>
        </w:p>
        <w:p>
          <w:pPr>
            <w:pStyle w:val="958"/>
            <w:tabs>
              <w:tab w:val="right" w:leader="dot" w:pos="10080"/>
            </w:tabs>
          </w:pPr>
          <w:hyperlink w:anchor="_TocRAM006" w:history="1">
            <w:r>
              <w:rPr>
                <w:rStyle w:val="955"/>
              </w:rPr>
              <w:t xml:space="preserve">Classification levels</w:t>
            </w:r>
            <w:r>
              <w:tab/>
            </w:r>
            <w:r>
              <w:fldChar w:fldCharType="begin"/>
              <w:instrText xml:space="preserve"> PAGEREF _TocRAM006 \h </w:instrText>
              <w:fldChar w:fldCharType="separate"/>
              <w:t xml:space="preserve"> </w:t>
              <w:fldChar w:fldCharType="end"/>
            </w:r>
          </w:hyperlink>
        </w:p>
        <w:p>
          <w:pPr>
            <w:pStyle w:val="958"/>
            <w:tabs>
              <w:tab w:val="right" w:leader="dot" w:pos="10080"/>
            </w:tabs>
          </w:pPr>
          <w:hyperlink w:anchor="_TocRAM007" w:history="1">
            <w:r>
              <w:rPr>
                <w:rStyle w:val="955"/>
              </w:rPr>
              <w:t xml:space="preserve">Handling rules</w:t>
            </w:r>
            <w:r>
              <w:tab/>
            </w:r>
            <w:r>
              <w:fldChar w:fldCharType="begin"/>
              <w:instrText xml:space="preserve"> PAGEREF _TocRAM007 \h </w:instrText>
              <w:fldChar w:fldCharType="separate"/>
              <w:t xml:space="preserve"> </w:t>
              <w:fldChar w:fldCharType="end"/>
            </w:r>
          </w:hyperlink>
        </w:p>
        <w:p>
          <w:pPr>
            <w:pStyle w:val="958"/>
            <w:tabs>
              <w:tab w:val="right" w:leader="dot" w:pos="10080"/>
            </w:tabs>
          </w:pPr>
          <w:hyperlink w:anchor="_TocRAM008" w:history="1">
            <w:r>
              <w:rPr>
                <w:rStyle w:val="955"/>
              </w:rPr>
              <w:t xml:space="preserve">Ownership and review</w:t>
            </w:r>
            <w:r>
              <w:tab/>
            </w:r>
            <w:r>
              <w:fldChar w:fldCharType="begin"/>
              <w:instrText xml:space="preserve"> PAGEREF _TocRAM008 \h </w:instrText>
              <w:fldChar w:fldCharType="separate"/>
              <w:t xml:space="preserve"> </w:t>
              <w:fldChar w:fldCharType="end"/>
            </w:r>
          </w:hyperlink>
        </w:p>
        <w:p>
          <w:pPr>
            <w:pStyle w:val="958"/>
            <w:tabs>
              <w:tab w:val="right" w:leader="dot" w:pos="10080"/>
            </w:tabs>
          </w:pPr>
          <w:hyperlink w:anchor="_TocRAM009" w:history="1">
            <w:r>
              <w:rPr>
                <w:rStyle w:val="955"/>
              </w:rPr>
              <w:t xml:space="preserve">External sharing</w:t>
            </w:r>
            <w:r>
              <w:tab/>
            </w:r>
            <w:r>
              <w:fldChar w:fldCharType="begin"/>
              <w:instrText xml:space="preserve"> PAGEREF _TocRAM009 \h </w:instrText>
              <w:fldChar w:fldCharType="separate"/>
              <w:t xml:space="preserve"> </w:t>
              <w:fldChar w:fldCharType="end"/>
            </w:r>
          </w:hyperlink>
        </w:p>
        <w:p>
          <w:pPr>
            <w:pStyle w:val="958"/>
            <w:tabs>
              <w:tab w:val="right" w:leader="dot" w:pos="10080"/>
            </w:tabs>
          </w:pPr>
          <w:hyperlink w:anchor="_TocRAM010" w:history="1">
            <w:r>
              <w:rPr>
                <w:rStyle w:val="955"/>
              </w:rPr>
              <w:t xml:space="preserve">Exceptions</w:t>
            </w:r>
            <w:r>
              <w:tab/>
            </w:r>
            <w:r>
              <w:fldChar w:fldCharType="begin"/>
              <w:instrText xml:space="preserve"> PAGEREF _TocRAM010 \h </w:instrText>
              <w:fldChar w:fldCharType="separate"/>
              <w:t xml:space="preserve"> </w:t>
              <w:fldChar w:fldCharType="end"/>
            </w:r>
          </w:hyperlink>
        </w:p>
        <w:p>
          <w:pPr>
            <w:pStyle w:val="958"/>
            <w:tabs>
              <w:tab w:val="right" w:leader="dot" w:pos="10080"/>
            </w:tabs>
          </w:pPr>
          <w:hyperlink w:anchor="_TocRAM011" w:history="1">
            <w:r>
              <w:rPr>
                <w:rStyle w:val="955"/>
              </w:rPr>
              <w:t xml:space="preserve">Classified rules</w:t>
            </w:r>
            <w:r>
              <w:tab/>
            </w:r>
            <w:r>
              <w:fldChar w:fldCharType="begin"/>
              <w:instrText xml:space="preserve"> PAGEREF _TocRAM011 \h </w:instrText>
              <w:fldChar w:fldCharType="separate"/>
              <w:t xml:space="preserve"> </w:t>
              <w:fldChar w:fldCharType="end"/>
            </w:r>
          </w:hyperlink>
        </w:p>
        <w:p>
          <w:pPr>
            <w:pStyle w:val="958"/>
            <w:tabs>
              <w:tab w:val="right" w:leader="dot" w:pos="10080"/>
            </w:tabs>
          </w:pPr>
          <w:hyperlink w:anchor="_TocRAM012" w:history="1">
            <w:r>
              <w:rPr>
                <w:rStyle w:val="955"/>
              </w:rPr>
              <w:t xml:space="preserve">Evidence expectations</w:t>
            </w:r>
            <w:r>
              <w:tab/>
            </w:r>
            <w:r>
              <w:fldChar w:fldCharType="begin"/>
              <w:instrText xml:space="preserve"> PAGEREF _TocRAM012 \h </w:instrText>
              <w:fldChar w:fldCharType="separate"/>
              <w:t xml:space="preserve"> </w:t>
              <w:fldChar w:fldCharType="end"/>
            </w:r>
          </w:hyperlink>
        </w:p>
        <w:p>
          <w:pPr>
            <w:pStyle w:val="957"/>
            <w:tabs>
              <w:tab w:val="right" w:leader="dot" w:pos="10080"/>
            </w:tabs>
          </w:pPr>
          <w:hyperlink w:anchor="_TocRAM013" w:history="1">
            <w:r>
              <w:rPr>
                <w:rStyle w:val="955"/>
              </w:rPr>
              <w:t xml:space="preserve">Evidence and records</w:t>
            </w:r>
            <w:r>
              <w:tab/>
            </w:r>
            <w:r>
              <w:fldChar w:fldCharType="begin"/>
              <w:instrText xml:space="preserve"> PAGEREF _TocRAM013 \h </w:instrText>
              <w:fldChar w:fldCharType="separate"/>
              <w:t xml:space="preserve"> </w:t>
              <w:fldChar w:fldCharType="end"/>
            </w:r>
          </w:hyperlink>
        </w:p>
        <w:p>
          <w:pPr>
            <w:pStyle w:val="957"/>
            <w:tabs>
              <w:tab w:val="right" w:leader="dot" w:pos="10080"/>
            </w:tabs>
          </w:pPr>
          <w:hyperlink w:anchor="_TocRAM014" w:history="1">
            <w:r>
              <w:rPr>
                <w:rStyle w:val="955"/>
              </w:rPr>
              <w:t xml:space="preserve">References</w:t>
            </w:r>
            <w:r>
              <w:tab/>
            </w:r>
            <w:r>
              <w:fldChar w:fldCharType="begin"/>
              <w:instrText xml:space="preserve"> PAGEREF _TocRAM014 \h </w:instrText>
              <w:fldChar w:fldCharType="separate"/>
              <w:t xml:space="preserve"> </w:t>
              <w:fldChar w:fldCharType="end"/>
            </w:r>
          </w:hyperlink>
        </w:p>
        <w:p>
          <w:pPr>
            <w:pStyle w:val="958"/>
            <w:tabs>
              <w:tab w:val="right" w:leader="dot" w:pos="10080"/>
            </w:tabs>
          </w:pPr>
          <w:hyperlink w:anchor="_TocRAM015" w:history="1">
            <w:r>
              <w:rPr>
                <w:rStyle w:val="955"/>
              </w:rPr>
              <w:t xml:space="preserve">Linked documents</w:t>
            </w:r>
            <w:r>
              <w:tab/>
            </w:r>
            <w:r>
              <w:fldChar w:fldCharType="begin"/>
              <w:instrText xml:space="preserve"> PAGEREF _TocRAM015 \h </w:instrText>
              <w:fldChar w:fldCharType="separate"/>
              <w:t xml:space="preserve"> </w:t>
              <w:fldChar w:fldCharType="end"/>
            </w:r>
          </w:hyperlink>
        </w:p>
        <w:p>
          <w:pPr>
            <w:pStyle w:val="958"/>
            <w:tabs>
              <w:tab w:val="right" w:leader="dot" w:pos="10080"/>
            </w:tabs>
          </w:pPr>
          <w:hyperlink w:anchor="_TocRAM016" w:history="1">
            <w:r>
              <w:rPr>
                <w:rStyle w:val="955"/>
              </w:rPr>
              <w:t xml:space="preserve">External references</w:t>
            </w:r>
            <w:r>
              <w:tab/>
            </w:r>
            <w:r>
              <w:fldChar w:fldCharType="begin"/>
              <w:instrText xml:space="preserve"> PAGEREF _TocRAM016 \h </w:instrText>
              <w:fldChar w:fldCharType="separate"/>
              <w:t xml:space="preserve"> </w:t>
              <w:fldChar w:fldCharType="end"/>
            </w:r>
          </w:hyperlink>
        </w:p>
        <w:p w14:paraId="2B72CC78">
          <w:pPr>
            <w:pBdr/>
            <w:spacing/>
            <w:ind/>
            <w:rPr/>
          </w:pPr>
          <w:r>
            <w:fldChar w:fldCharType="end"/>
          </w:r>
          <w:r/>
        </w:p>
      </w:sdtContent>
    </w:sdt>
    <w:p>
      <w:r>
        <w:br w:type="page"/>
      </w:r>
    </w:p>
    <w:p>
      <w:pPr>
        <w:keepNext w:val="true"/>
        <w:keepLines w:val="true"/>
        <w:pBdr/>
        <w:spacing w:after="0" w:before="480"/>
        <w:ind/>
        <w:outlineLvl w:val="9"/>
      </w:pPr>
      <w:bookmarkStart w:id="1" w:name="ref_instructions"/>
      <w:r>
        <w:rPr>
          <w:rFonts w:asciiTheme="majorHAnsi" w:hAnsiTheme="majorHAnsi" w:eastAsiaTheme="majorEastAsia" w:cstheme="majorBidi"/>
          <w:b/>
          <w:bCs/>
          <w:color w:val="365f91" w:themeColor="accent1" w:themeShade="BF"/>
          <w:sz w:val="28"/>
          <w:szCs w:val="28"/>
        </w:rPr>
        <w:t>Instructions</w:t>
      </w:r>
      <w:bookmarkEnd w:id="1"/>
    </w:p>
    <w:p>
      <w:r>
        <w:rPr>
          <w:b w:val="0"/>
        </w:rPr>
        <w:t>This file is a fictional Arcfield example, not your organization's approved policy. Copy this file as the controlled Word master for your ISMS (Information Security Management System) only after you replace Arcfield decisions with your own.</w:t>
      </w:r>
    </w:p>
    <w:p>
      <w:pPr>
        <w:pStyle w:val="1006"/>
        <w:ind w:left="360" w:hanging="259"/>
        <w:numPr>
          <w:ilvl w:val="0"/>
          <w:numId w:val="10"/>
        </w:numPr>
      </w:pPr>
      <w:r>
        <w:rPr>
          <w:b w:val="0"/>
        </w:rPr>
        <w:t>Treat INFO-CLASS-POL-001 and the rule IDs as the example identity. Cover status Approved is the Arcfield scenario freeze, not a real management-team sign-off of these new rule sentences.</w:t>
      </w:r>
    </w:p>
    <w:p>
      <w:pPr>
        <w:pStyle w:val="1006"/>
        <w:ind w:left="360" w:hanging="259"/>
        <w:numPr>
          <w:ilvl w:val="0"/>
          <w:numId w:val="10"/>
        </w:numPr>
      </w:pPr>
      <w:r>
        <w:rPr>
          <w:b w:val="0"/>
        </w:rPr>
        <w:t>Replace Arcfield names, methods and owners before you adopt the file.</w:t>
      </w:r>
    </w:p>
    <w:p>
      <w:pPr>
        <w:pStyle w:val="1006"/>
        <w:ind w:left="360" w:hanging="259"/>
        <w:numPr>
          <w:ilvl w:val="0"/>
          <w:numId w:val="10"/>
        </w:numPr>
      </w:pPr>
      <w:r>
        <w:rPr>
          <w:b w:val="0"/>
        </w:rPr>
        <w:t>Cite the Document Control version from related records. Do not copy this body into those records.</w:t>
      </w:r>
    </w:p>
    <w:p>
      <w:pPr>
        <w:spacing w:after="0"/>
      </w:pPr>
    </w:p>
    <w:tbl>
      <w:tblPr>
        <w:tblStyle w:val="1033"/>
        <w:tblW w:type="auto" w:w="0"/>
        <w:tblLook w:firstColumn="1" w:firstRow="1" w:lastColumn="0" w:lastRow="0" w:noHBand="0" w:noVBand="1" w:val="04A0"/>
      </w:tblPr>
      <w:tblGrid>
        <w:gridCol w:w="10080"/>
      </w:tblGrid>
      <w:tr>
        <w:tc>
          <w:tcPr>
            <w:tcW w:type="dxa" w:w="10080"/>
            <w:shd w:fill="EAF3FF"/>
            <w:tcBorders>
              <w:top w:val="single" w:sz="8" w:space="0" w:color="8CB4FF"/>
              <w:left w:val="single" w:sz="8" w:space="0" w:color="8CB4FF"/>
              <w:bottom w:val="single" w:sz="8" w:space="0" w:color="8CB4FF"/>
              <w:right w:val="single" w:sz="8" w:space="0" w:color="8CB4FF"/>
            </w:tcBorders>
          </w:tcPr>
          <w:p>
            <w:pPr>
              <w:spacing w:before="80" w:after="80"/>
              <w:jc w:val="left"/>
            </w:pPr>
            <w:r>
              <w:rPr>
                <w:b w:val="0"/>
              </w:rPr>
              <w:t>Hint: Apply Instructions with named owners, systems and exportable evidence. Do not leave this chapter as a heading plus a bare table.</w:t>
              <w:br/>
              <w:br/>
              <w:t>Book reference: Building the ISMS, Information Security Policies &amp; Risk Management</w:t>
            </w:r>
          </w:p>
        </w:tc>
      </w:tr>
    </w:tbl>
    <w:p>
      <w:r>
        <w:br w:type="page"/>
      </w:r>
    </w:p>
    <w:p>
      <w:pPr>
        <w:pStyle w:val="973"/>
        <w:outlineLvl w:val="0"/>
      </w:pPr>
      <w:bookmarkStart w:id="5" w:name="_TocRAM001"/>
      <w:bookmarkStart w:id="2" w:name="ref_policy_content"/>
      <w:r>
        <w:t>Policy</w:t>
      </w:r>
      <w:bookmarkEnd w:id="2"/>
      <w:bookmarkEnd w:id="5"/>
    </w:p>
    <w:p>
      <w:pPr>
        <w:pStyle w:val="974"/>
        <w:outlineLvl w:val="1"/>
      </w:pPr>
      <w:bookmarkStart w:id="6" w:name="_TocRAM002"/>
      <w:r>
        <w:t>What this policy is</w:t>
      </w:r>
      <w:bookmarkEnd w:id="6"/>
    </w:p>
    <w:p>
      <w:r>
        <w:rPr>
          <w:b w:val="0"/>
        </w:rPr>
        <w:t>This document is Arcfield's Information Classification Policy, document ID INFO-CLASS-POL-001. It binds Arcfield Platform classification levels, labelling, handling, ownership, external sharing and exceptions. Public, Internal, Confidential and Restricted are the only approved levels. It is not the ISMS Scope Statement, the Risk Assessment Methodology or the Statement of Applicability. It applies to Arcfield Platform production, customer data, CI/CD (Continuous Integration / Continuous Delivery), privileged access and critical suppliers. Neighbouring records cite this Document Control version. Do not copy these paragraphs into those records.</w:t>
      </w:r>
    </w:p>
    <w:p>
      <w:pPr>
        <w:pStyle w:val="974"/>
        <w:outlineLvl w:val="1"/>
      </w:pPr>
      <w:bookmarkStart w:id="7" w:name="_TocRAM003"/>
      <w:r>
        <w:t>Scope</w:t>
      </w:r>
      <w:bookmarkEnd w:id="7"/>
    </w:p>
    <w:p>
      <w:r>
        <w:rPr>
          <w:b w:val="0"/>
        </w:rPr>
        <w:t>Use this table before you copy a rule into another record or exclude a duty from this file.</w:t>
      </w:r>
    </w:p>
    <w:tbl>
      <w:tblPr>
        <w:tblStyle w:val="1033"/>
        <w:tblW w:type="dxa" w:w="10080"/>
        <w:jc w:val="left"/>
        <w:tblLayout w:type="fixed"/>
        <w:tblLook w:firstColumn="1" w:firstRow="1" w:lastColumn="0" w:lastRow="0" w:noHBand="0" w:noVBand="1" w:val="04A0"/>
      </w:tblPr>
      <w:tblGrid>
        <w:gridCol w:w="7056"/>
        <w:gridCol w:w="3024"/>
      </w:tblGrid>
      <w:tr>
        <w:trPr>
          <w:tblHeader/>
          <w:cantSplit/>
        </w:trPr>
        <w:tc>
          <w:tcPr>
            <w:tcW w:type="dxa" w:w="7056"/>
            <w:shd w:fill="F7F9FC"/>
          </w:tcPr>
          <w:p>
            <w:r/>
            <w:r>
              <w:rPr>
                <w:b/>
                <w:color w:val="1F6FEB"/>
                <w:sz w:val="18"/>
              </w:rPr>
              <w:t>In this policy</w:t>
            </w:r>
          </w:p>
        </w:tc>
        <w:tc>
          <w:tcPr>
            <w:tcW w:type="dxa" w:w="3024"/>
            <w:shd w:fill="F7F9FC"/>
          </w:tcPr>
          <w:p>
            <w:r/>
            <w:r>
              <w:rPr>
                <w:b/>
                <w:color w:val="1F6FEB"/>
                <w:sz w:val="18"/>
              </w:rPr>
              <w:t>Not in this policy</w:t>
            </w:r>
          </w:p>
        </w:tc>
      </w:tr>
      <w:tr>
        <w:trPr>
          <w:cantSplit/>
        </w:trPr>
        <w:tc>
          <w:tcPr>
            <w:tcW w:type="dxa" w:w="7056"/>
          </w:tcPr>
          <w:p>
            <w:r/>
            <w:r>
              <w:rPr>
                <w:b w:val="0"/>
                <w:color w:val="1F2328"/>
                <w:sz w:val="18"/>
              </w:rPr>
              <w:t>The classified rules ICP-CLS-001, ICP-HDL-001, ICP-OWN-001 through ICP-EV-001, roles, the worked Arcfield example and the records this file owns.</w:t>
            </w:r>
          </w:p>
        </w:tc>
        <w:tc>
          <w:tcPr>
            <w:tcW w:type="dxa" w:w="3024"/>
          </w:tcPr>
          <w:p>
            <w:r/>
            <w:r>
              <w:rPr>
                <w:b w:val="0"/>
                <w:color w:val="1F2328"/>
                <w:sz w:val="18"/>
              </w:rPr>
              <w:t>The ISMS boundary (ISS), Annex A selection (SoA), or live neighbouring registers. Those files keep their own versions.</w:t>
            </w:r>
          </w:p>
        </w:tc>
      </w:tr>
      <w:tr>
        <w:trPr>
          <w:cantSplit/>
        </w:trPr>
        <w:tc>
          <w:tcPr>
            <w:tcW w:type="dxa" w:w="7056"/>
          </w:tcPr>
          <w:p>
            <w:r/>
            <w:r>
              <w:rPr>
                <w:b w:val="0"/>
                <w:color w:val="1F2328"/>
                <w:sz w:val="18"/>
              </w:rPr>
              <w:t>Interfaces that must cite this Document Control version, including CI/CD, identity and suppliers where they affect confidentiality, integrity or availability.</w:t>
            </w:r>
          </w:p>
        </w:tc>
        <w:tc>
          <w:tcPr>
            <w:tcW w:type="dxa" w:w="3024"/>
          </w:tcPr>
          <w:p>
            <w:r/>
            <w:r>
              <w:rPr>
                <w:b w:val="0"/>
                <w:color w:val="1F2328"/>
                <w:sz w:val="18"/>
              </w:rPr>
              <w:t>Live ISS or SoA decisions. Neighbouring live registers keep their own versions. Those files are named, not copied here.</w:t>
            </w:r>
          </w:p>
        </w:tc>
      </w:tr>
    </w:tbl>
    <w:p>
      <w:pPr>
        <w:spacing w:before="0" w:after="120"/>
      </w:pPr>
    </w:p>
    <w:p>
      <w:pPr>
        <w:pStyle w:val="974"/>
        <w:outlineLvl w:val="1"/>
      </w:pPr>
      <w:bookmarkStart w:id="8" w:name="_TocRAM004"/>
      <w:r>
        <w:t>Terms used here</w:t>
      </w:r>
      <w:bookmarkEnd w:id="8"/>
    </w:p>
    <w:p>
      <w:r>
        <w:rPr>
          <w:b w:val="0"/>
        </w:rPr>
        <w:t>These terms are local to this file. Expand every acronym on first use in the body. Artefact ID ISO is Information Security Objectives, not the International Organization for Standardization.</w:t>
      </w:r>
    </w:p>
    <w:tbl>
      <w:tblPr>
        <w:tblStyle w:val="1033"/>
        <w:tblW w:type="dxa" w:w="10080"/>
        <w:jc w:val="left"/>
        <w:tblLayout w:type="fixed"/>
        <w:tblLook w:firstColumn="1" w:firstRow="1" w:lastColumn="0" w:lastRow="0" w:noHBand="0" w:noVBand="1" w:val="04A0"/>
      </w:tblPr>
      <w:tblGrid>
        <w:gridCol w:w="2840"/>
        <w:gridCol w:w="7240"/>
      </w:tblGrid>
      <w:tr>
        <w:trPr>
          <w:tblHeader/>
          <w:cantSplit/>
        </w:trPr>
        <w:tc>
          <w:tcPr>
            <w:tcW w:type="dxa" w:w="2840"/>
            <w:shd w:fill="F7F9FC"/>
          </w:tcPr>
          <w:p>
            <w:r/>
            <w:r>
              <w:rPr>
                <w:b/>
                <w:color w:val="1F6FEB"/>
                <w:sz w:val="18"/>
              </w:rPr>
              <w:t>Term</w:t>
            </w:r>
          </w:p>
        </w:tc>
        <w:tc>
          <w:tcPr>
            <w:tcW w:type="dxa" w:w="7240"/>
            <w:shd w:fill="F7F9FC"/>
          </w:tcPr>
          <w:p>
            <w:r/>
            <w:r>
              <w:rPr>
                <w:b/>
                <w:color w:val="1F6FEB"/>
                <w:sz w:val="18"/>
              </w:rPr>
              <w:t>Meaning</w:t>
            </w:r>
          </w:p>
        </w:tc>
      </w:tr>
      <w:tr>
        <w:trPr>
          <w:cantSplit/>
        </w:trPr>
        <w:tc>
          <w:tcPr>
            <w:tcW w:type="dxa" w:w="2840"/>
          </w:tcPr>
          <w:p>
            <w:r/>
            <w:r>
              <w:rPr>
                <w:b w:val="0"/>
                <w:color w:val="1F2328"/>
                <w:sz w:val="18"/>
              </w:rPr>
              <w:t>Owner</w:t>
            </w:r>
          </w:p>
        </w:tc>
        <w:tc>
          <w:tcPr>
            <w:tcW w:type="dxa" w:w="7240"/>
          </w:tcPr>
          <w:p>
            <w:r/>
            <w:r>
              <w:rPr>
                <w:b w:val="0"/>
                <w:color w:val="1F2328"/>
                <w:sz w:val="18"/>
              </w:rPr>
              <w:t>The named role that can be called in an audit for an outcome. A team name is not an owner.</w:t>
            </w:r>
          </w:p>
        </w:tc>
      </w:tr>
      <w:tr>
        <w:trPr>
          <w:cantSplit/>
        </w:trPr>
        <w:tc>
          <w:tcPr>
            <w:tcW w:type="dxa" w:w="2840"/>
          </w:tcPr>
          <w:p>
            <w:r/>
            <w:r>
              <w:rPr>
                <w:b w:val="0"/>
                <w:color w:val="1F2328"/>
                <w:sz w:val="18"/>
              </w:rPr>
              <w:t>Exception</w:t>
            </w:r>
          </w:p>
        </w:tc>
        <w:tc>
          <w:tcPr>
            <w:tcW w:type="dxa" w:w="7240"/>
          </w:tcPr>
          <w:p>
            <w:r/>
            <w:r>
              <w:rPr>
                <w:b w:val="0"/>
                <w:color w:val="1F2328"/>
                <w:sz w:val="18"/>
              </w:rPr>
              <w:t>A time-bound, approved departure with expiry and a compensating control. An expired row does not authorise continued deviation.</w:t>
            </w:r>
          </w:p>
        </w:tc>
      </w:tr>
      <w:tr>
        <w:trPr>
          <w:cantSplit/>
        </w:trPr>
        <w:tc>
          <w:tcPr>
            <w:tcW w:type="dxa" w:w="2840"/>
          </w:tcPr>
          <w:p>
            <w:r/>
            <w:r>
              <w:rPr>
                <w:b w:val="0"/>
                <w:color w:val="1F2328"/>
                <w:sz w:val="18"/>
              </w:rPr>
              <w:t>Document Control version</w:t>
            </w:r>
          </w:p>
        </w:tc>
        <w:tc>
          <w:tcPr>
            <w:tcW w:type="dxa" w:w="7240"/>
          </w:tcPr>
          <w:p>
            <w:r/>
            <w:r>
              <w:rPr>
                <w:b w:val="0"/>
                <w:color w:val="1F2328"/>
                <w:sz w:val="18"/>
              </w:rPr>
              <w:t>The version cited from neighbouring records. Do not copy this body into those records.</w:t>
            </w:r>
          </w:p>
        </w:tc>
      </w:tr>
      <w:tr>
        <w:trPr>
          <w:cantSplit/>
        </w:trPr>
        <w:tc>
          <w:tcPr>
            <w:tcW w:type="dxa" w:w="2840"/>
          </w:tcPr>
          <w:p>
            <w:r/>
            <w:r>
              <w:rPr>
                <w:b w:val="0"/>
                <w:color w:val="1F2328"/>
                <w:sz w:val="18"/>
              </w:rPr>
              <w:t>Enforcement</w:t>
            </w:r>
          </w:p>
        </w:tc>
        <w:tc>
          <w:tcPr>
            <w:tcW w:type="dxa" w:w="7240"/>
          </w:tcPr>
          <w:p>
            <w:r/>
            <w:r>
              <w:rPr>
                <w:b w:val="0"/>
                <w:color w:val="1F2328"/>
                <w:sz w:val="18"/>
              </w:rPr>
              <w:t>The named system rejects the unauthorised attempt for the named population. Registration or capability is not enforcement.</w:t>
            </w:r>
          </w:p>
        </w:tc>
      </w:tr>
    </w:tbl>
    <w:p>
      <w:pPr>
        <w:spacing w:before="0" w:after="120"/>
      </w:pPr>
    </w:p>
    <w:p>
      <w:pPr>
        <w:pStyle w:val="974"/>
        <w:outlineLvl w:val="1"/>
      </w:pPr>
      <w:bookmarkStart w:id="9" w:name="_TocRAM005"/>
      <w:r>
        <w:t>Systems, integrations and data</w:t>
      </w:r>
      <w:bookmarkEnd w:id="9"/>
    </w:p>
    <w:p>
      <w:r>
        <w:rPr>
          <w:b w:val="0"/>
        </w:rPr>
        <w:t>Related inventories live in the companion documents named below. Cite the approved version. Do not copy their content. Availability follows the book pack, not this sentence.</w:t>
      </w:r>
    </w:p>
    <w:p>
      <w:pPr>
        <w:pStyle w:val="1006"/>
        <w:ind w:left="360" w:hanging="259"/>
        <w:numPr>
          <w:ilvl w:val="0"/>
          <w:numId w:val="11"/>
        </w:numPr>
      </w:pPr>
      <w:hyperlink r:id="rId16" w:history="1">
        <w:r>
          <w:rPr>
            <w:color w:val="0563C1"/>
            <w:u w:val="single"/>
          </w:rPr>
          <w:t xml:space="preserve">Asset Inventory</w:t>
        </w:r>
      </w:hyperlink>
      <w:r>
        <w:rPr>
          <w:b w:val="0"/>
        </w:rPr>
        <w:t xml:space="preserve"> — In-scope assets with owner, classification, hosting, personal-data flag and related risk.</w:t>
      </w:r>
    </w:p>
    <w:p>
      <w:pPr>
        <w:pStyle w:val="1006"/>
        <w:ind w:left="360" w:hanging="259"/>
        <w:numPr>
          <w:ilvl w:val="0"/>
          <w:numId w:val="11"/>
        </w:numPr>
      </w:pPr>
      <w:hyperlink r:id="rId17" w:history="1">
        <w:r>
          <w:rPr>
            <w:color w:val="0563C1"/>
            <w:u w:val="single"/>
          </w:rPr>
          <w:t xml:space="preserve">Supplier Inventory</w:t>
        </w:r>
      </w:hyperlink>
      <w:r>
        <w:rPr>
          <w:b w:val="0"/>
        </w:rPr>
        <w:t xml:space="preserve"> — Security-relevant suppliers with tier, due diligence, contract controls, subprocessors and exit planning.</w:t>
      </w:r>
    </w:p>
    <w:p>
      <w:pPr>
        <w:pStyle w:val="1006"/>
        <w:ind w:left="360" w:hanging="259"/>
        <w:numPr>
          <w:ilvl w:val="0"/>
          <w:numId w:val="11"/>
        </w:numPr>
      </w:pPr>
      <w:hyperlink r:id="rId18" w:history="1">
        <w:r>
          <w:rPr>
            <w:color w:val="0563C1"/>
            <w:u w:val="single"/>
          </w:rPr>
          <w:t xml:space="preserve">Users and Access Inventory</w:t>
        </w:r>
      </w:hyperlink>
      <w:r>
        <w:rPr>
          <w:b w:val="0"/>
        </w:rPr>
        <w:t xml:space="preserve"> — Users and accounts with access rights, privileged access, MFA status, reviews and revocations.</w:t>
      </w:r>
    </w:p>
    <w:p>
      <w:pPr>
        <w:pStyle w:val="974"/>
        <w:outlineLvl w:val="1"/>
      </w:pPr>
      <w:bookmarkStart w:id="10" w:name="_TocRAM006"/>
      <w:r>
        <w:t>Classification levels</w:t>
      </w:r>
      <w:bookmarkEnd w:id="10"/>
    </w:p>
    <w:p>
      <w:r>
        <w:rPr>
          <w:b w:val="0"/>
        </w:rPr>
        <w:t>Use this table to classify every Arcfield Platform information asset before you store, share or export it. Public, Internal, Confidential and Restricted are the only approved levels. A colour, a folder name or 'sensitive' is not a level. Label the live record; do not copy this table into the risk register, a privacy assessment or the asset inventory.</w:t>
      </w:r>
    </w:p>
    <w:tbl>
      <w:tblPr>
        <w:tblStyle w:val="1033"/>
        <w:tblW w:type="dxa" w:w="10080"/>
        <w:jc w:val="left"/>
        <w:tblLayout w:type="fixed"/>
        <w:tblLook w:firstColumn="1" w:firstRow="1" w:lastColumn="0" w:lastRow="0" w:noHBand="0" w:noVBand="1" w:val="04A0"/>
      </w:tblPr>
      <w:tblGrid>
        <w:gridCol w:w="2008"/>
        <w:gridCol w:w="2008"/>
        <w:gridCol w:w="3768"/>
        <w:gridCol w:w="2296"/>
      </w:tblGrid>
      <w:tr>
        <w:trPr>
          <w:tblHeader/>
          <w:cantSplit/>
        </w:trPr>
        <w:tc>
          <w:tcPr>
            <w:tcW w:type="dxa" w:w="2008"/>
            <w:shd w:fill="F7F9FC"/>
          </w:tcPr>
          <w:p>
            <w:r/>
            <w:r>
              <w:rPr>
                <w:b/>
                <w:color w:val="1F6FEB"/>
                <w:sz w:val="18"/>
              </w:rPr>
              <w:t>Level</w:t>
            </w:r>
          </w:p>
        </w:tc>
        <w:tc>
          <w:tcPr>
            <w:tcW w:type="dxa" w:w="2008"/>
            <w:shd w:fill="F7F9FC"/>
          </w:tcPr>
          <w:p>
            <w:r/>
            <w:r>
              <w:rPr>
                <w:b/>
                <w:color w:val="1F6FEB"/>
                <w:sz w:val="18"/>
              </w:rPr>
              <w:t>Meaning</w:t>
            </w:r>
          </w:p>
        </w:tc>
        <w:tc>
          <w:tcPr>
            <w:tcW w:type="dxa" w:w="3768"/>
            <w:shd w:fill="F7F9FC"/>
          </w:tcPr>
          <w:p>
            <w:r/>
            <w:r>
              <w:rPr>
                <w:b/>
                <w:color w:val="1F6FEB"/>
                <w:sz w:val="18"/>
              </w:rPr>
              <w:t>Arcfield Platform example</w:t>
            </w:r>
          </w:p>
        </w:tc>
        <w:tc>
          <w:tcPr>
            <w:tcW w:type="dxa" w:w="2296"/>
            <w:shd w:fill="F7F9FC"/>
          </w:tcPr>
          <w:p>
            <w:r/>
            <w:r>
              <w:rPr>
                <w:b/>
                <w:color w:val="1F6FEB"/>
                <w:sz w:val="18"/>
              </w:rPr>
              <w:t>Owner</w:t>
            </w:r>
          </w:p>
        </w:tc>
      </w:tr>
      <w:tr>
        <w:trPr>
          <w:cantSplit/>
        </w:trPr>
        <w:tc>
          <w:tcPr>
            <w:tcW w:type="dxa" w:w="2008"/>
          </w:tcPr>
          <w:p>
            <w:r/>
            <w:r>
              <w:rPr>
                <w:b w:val="0"/>
                <w:color w:val="1F2328"/>
                <w:sz w:val="18"/>
              </w:rPr>
              <w:t>Public</w:t>
            </w:r>
          </w:p>
        </w:tc>
        <w:tc>
          <w:tcPr>
            <w:tcW w:type="dxa" w:w="2008"/>
          </w:tcPr>
          <w:p>
            <w:r/>
            <w:r>
              <w:rPr>
                <w:b w:val="0"/>
                <w:color w:val="1F2328"/>
                <w:sz w:val="18"/>
              </w:rPr>
              <w:t>Information Arcfield has approved for public release, such as marketing pages and published status notices.</w:t>
            </w:r>
          </w:p>
        </w:tc>
        <w:tc>
          <w:tcPr>
            <w:tcW w:type="dxa" w:w="3768"/>
          </w:tcPr>
          <w:p>
            <w:r/>
            <w:r>
              <w:rPr>
                <w:b w:val="0"/>
                <w:color w:val="1F2328"/>
                <w:sz w:val="18"/>
              </w:rPr>
              <w:t>The public status page for Arcfield Platform availability.</w:t>
            </w:r>
          </w:p>
        </w:tc>
        <w:tc>
          <w:tcPr>
            <w:tcW w:type="dxa" w:w="2296"/>
          </w:tcPr>
          <w:p>
            <w:r/>
            <w:r>
              <w:rPr>
                <w:b w:val="0"/>
                <w:color w:val="1F2328"/>
                <w:sz w:val="18"/>
              </w:rPr>
              <w:t>Communications Owner</w:t>
            </w:r>
          </w:p>
        </w:tc>
      </w:tr>
      <w:tr>
        <w:trPr>
          <w:cantSplit/>
        </w:trPr>
        <w:tc>
          <w:tcPr>
            <w:tcW w:type="dxa" w:w="2008"/>
          </w:tcPr>
          <w:p>
            <w:r/>
            <w:r>
              <w:rPr>
                <w:b w:val="0"/>
                <w:color w:val="1F2328"/>
                <w:sz w:val="18"/>
              </w:rPr>
              <w:t>Internal</w:t>
            </w:r>
          </w:p>
        </w:tc>
        <w:tc>
          <w:tcPr>
            <w:tcW w:type="dxa" w:w="2008"/>
          </w:tcPr>
          <w:p>
            <w:r/>
            <w:r>
              <w:rPr>
                <w:b w:val="0"/>
                <w:color w:val="1F2328"/>
                <w:sz w:val="18"/>
              </w:rPr>
              <w:t>Information for Arcfield staff and authorised contractors that would not harm a customer if disclosed inside the company.</w:t>
            </w:r>
          </w:p>
        </w:tc>
        <w:tc>
          <w:tcPr>
            <w:tcW w:type="dxa" w:w="3768"/>
          </w:tcPr>
          <w:p>
            <w:r/>
            <w:r>
              <w:rPr>
                <w:b w:val="0"/>
                <w:color w:val="1F2328"/>
                <w:sz w:val="18"/>
              </w:rPr>
              <w:t>Internal runbooks for the Arcfield Platform support queue.</w:t>
            </w:r>
          </w:p>
        </w:tc>
        <w:tc>
          <w:tcPr>
            <w:tcW w:type="dxa" w:w="2296"/>
          </w:tcPr>
          <w:p>
            <w:r/>
            <w:r>
              <w:rPr>
                <w:b w:val="0"/>
                <w:color w:val="1F2328"/>
                <w:sz w:val="18"/>
              </w:rPr>
              <w:t>Process Owner</w:t>
            </w:r>
          </w:p>
        </w:tc>
      </w:tr>
      <w:tr>
        <w:trPr>
          <w:cantSplit/>
        </w:trPr>
        <w:tc>
          <w:tcPr>
            <w:tcW w:type="dxa" w:w="2008"/>
          </w:tcPr>
          <w:p>
            <w:r/>
            <w:r>
              <w:rPr>
                <w:b w:val="0"/>
                <w:color w:val="1F2328"/>
                <w:sz w:val="18"/>
              </w:rPr>
              <w:t>Confidential</w:t>
            </w:r>
          </w:p>
        </w:tc>
        <w:tc>
          <w:tcPr>
            <w:tcW w:type="dxa" w:w="2008"/>
          </w:tcPr>
          <w:p>
            <w:r/>
            <w:r>
              <w:rPr>
                <w:b w:val="0"/>
                <w:color w:val="1F2328"/>
                <w:sz w:val="18"/>
              </w:rPr>
              <w:t>Customer, workforce or ISMS information whose disclosure would harm Arcfield or a customer.</w:t>
            </w:r>
          </w:p>
        </w:tc>
        <w:tc>
          <w:tcPr>
            <w:tcW w:type="dxa" w:w="3768"/>
          </w:tcPr>
          <w:p>
            <w:r/>
            <w:r>
              <w:rPr>
                <w:b w:val="0"/>
                <w:color w:val="1F2328"/>
                <w:sz w:val="18"/>
              </w:rPr>
              <w:t>Customer configuration, support attachments and ISMS evidence exports.</w:t>
            </w:r>
          </w:p>
        </w:tc>
        <w:tc>
          <w:tcPr>
            <w:tcW w:type="dxa" w:w="2296"/>
          </w:tcPr>
          <w:p>
            <w:r/>
            <w:r>
              <w:rPr>
                <w:b w:val="0"/>
                <w:color w:val="1F2328"/>
                <w:sz w:val="18"/>
              </w:rPr>
              <w:t>Asset Owner</w:t>
            </w:r>
          </w:p>
        </w:tc>
      </w:tr>
      <w:tr>
        <w:trPr>
          <w:cantSplit/>
        </w:trPr>
        <w:tc>
          <w:tcPr>
            <w:tcW w:type="dxa" w:w="2008"/>
          </w:tcPr>
          <w:p>
            <w:r/>
            <w:r>
              <w:rPr>
                <w:b w:val="0"/>
                <w:color w:val="1F2328"/>
                <w:sz w:val="18"/>
              </w:rPr>
              <w:t>Restricted</w:t>
            </w:r>
          </w:p>
        </w:tc>
        <w:tc>
          <w:tcPr>
            <w:tcW w:type="dxa" w:w="2008"/>
          </w:tcPr>
          <w:p>
            <w:r/>
            <w:r>
              <w:rPr>
                <w:b w:val="0"/>
                <w:color w:val="1F2328"/>
                <w:sz w:val="18"/>
              </w:rPr>
              <w:t>Secrets, privileged credentials, health data and legal holds. Need-to-know only.</w:t>
            </w:r>
          </w:p>
        </w:tc>
        <w:tc>
          <w:tcPr>
            <w:tcW w:type="dxa" w:w="3768"/>
          </w:tcPr>
          <w:p>
            <w:r/>
            <w:r>
              <w:rPr>
                <w:b w:val="0"/>
                <w:color w:val="1F2328"/>
                <w:sz w:val="18"/>
              </w:rPr>
              <w:t>Production signing keys, CI/CD secrets and identifiable customer PII.</w:t>
            </w:r>
          </w:p>
        </w:tc>
        <w:tc>
          <w:tcPr>
            <w:tcW w:type="dxa" w:w="2296"/>
          </w:tcPr>
          <w:p>
            <w:r/>
            <w:r>
              <w:rPr>
                <w:b w:val="0"/>
                <w:color w:val="1F2328"/>
                <w:sz w:val="18"/>
              </w:rPr>
              <w:t>Security Lead</w:t>
            </w:r>
          </w:p>
        </w:tc>
      </w:tr>
    </w:tbl>
    <w:p>
      <w:pPr>
        <w:spacing w:before="0" w:after="120"/>
      </w:pPr>
    </w:p>
    <w:p>
      <w:pPr>
        <w:pStyle w:val="974"/>
        <w:outlineLvl w:val="1"/>
      </w:pPr>
      <w:bookmarkStart w:id="11" w:name="_TocRAM007"/>
      <w:r>
        <w:t>Handling rules</w:t>
      </w:r>
      <w:bookmarkEnd w:id="11"/>
    </w:p>
    <w:p>
      <w:r>
        <w:rPr>
          <w:b w:val="0"/>
        </w:rPr>
        <w:t>Apply the handling row for the approved level before you transmit, store or destroy the information. Exports, screenshots and logs inherit the highest level of the data they contain. Support tickets that include customer configuration are Confidential; identifiable customer PII and secrets are Restricted.</w:t>
      </w:r>
    </w:p>
    <w:tbl>
      <w:tblPr>
        <w:tblStyle w:val="1033"/>
        <w:tblW w:type="dxa" w:w="10080"/>
        <w:jc w:val="left"/>
        <w:tblLayout w:type="fixed"/>
        <w:tblLook w:firstColumn="1" w:firstRow="1" w:lastColumn="0" w:lastRow="0" w:noHBand="0" w:noVBand="1" w:val="04A0"/>
      </w:tblPr>
      <w:tblGrid>
        <w:gridCol w:w="2008"/>
        <w:gridCol w:w="3912"/>
        <w:gridCol w:w="2152"/>
        <w:gridCol w:w="2008"/>
      </w:tblGrid>
      <w:tr>
        <w:trPr>
          <w:tblHeader/>
          <w:cantSplit/>
        </w:trPr>
        <w:tc>
          <w:tcPr>
            <w:tcW w:type="dxa" w:w="2008"/>
            <w:shd w:fill="F7F9FC"/>
          </w:tcPr>
          <w:p>
            <w:r/>
            <w:r>
              <w:rPr>
                <w:b/>
                <w:color w:val="1F6FEB"/>
                <w:sz w:val="18"/>
              </w:rPr>
              <w:t>Level</w:t>
            </w:r>
          </w:p>
        </w:tc>
        <w:tc>
          <w:tcPr>
            <w:tcW w:type="dxa" w:w="3912"/>
            <w:shd w:fill="F7F9FC"/>
          </w:tcPr>
          <w:p>
            <w:r/>
            <w:r>
              <w:rPr>
                <w:b/>
                <w:color w:val="1F6FEB"/>
                <w:sz w:val="18"/>
              </w:rPr>
              <w:t>Store</w:t>
            </w:r>
          </w:p>
        </w:tc>
        <w:tc>
          <w:tcPr>
            <w:tcW w:type="dxa" w:w="2152"/>
            <w:shd w:fill="F7F9FC"/>
          </w:tcPr>
          <w:p>
            <w:r/>
            <w:r>
              <w:rPr>
                <w:b/>
                <w:color w:val="1F6FEB"/>
                <w:sz w:val="18"/>
              </w:rPr>
              <w:t>Share</w:t>
            </w:r>
          </w:p>
        </w:tc>
        <w:tc>
          <w:tcPr>
            <w:tcW w:type="dxa" w:w="2008"/>
            <w:shd w:fill="F7F9FC"/>
          </w:tcPr>
          <w:p>
            <w:r/>
            <w:r>
              <w:rPr>
                <w:b/>
                <w:color w:val="1F6FEB"/>
                <w:sz w:val="18"/>
              </w:rPr>
              <w:t>Destroy</w:t>
            </w:r>
          </w:p>
        </w:tc>
      </w:tr>
      <w:tr>
        <w:trPr>
          <w:cantSplit/>
        </w:trPr>
        <w:tc>
          <w:tcPr>
            <w:tcW w:type="dxa" w:w="2008"/>
          </w:tcPr>
          <w:p>
            <w:r/>
            <w:r>
              <w:rPr>
                <w:b w:val="0"/>
                <w:color w:val="1F2328"/>
                <w:sz w:val="18"/>
              </w:rPr>
              <w:t>Public</w:t>
            </w:r>
          </w:p>
        </w:tc>
        <w:tc>
          <w:tcPr>
            <w:tcW w:type="dxa" w:w="3912"/>
          </w:tcPr>
          <w:p>
            <w:r/>
            <w:r>
              <w:rPr>
                <w:b w:val="0"/>
                <w:color w:val="1F2328"/>
                <w:sz w:val="18"/>
              </w:rPr>
              <w:t>Approved public sites and status channels</w:t>
            </w:r>
          </w:p>
        </w:tc>
        <w:tc>
          <w:tcPr>
            <w:tcW w:type="dxa" w:w="2152"/>
          </w:tcPr>
          <w:p>
            <w:r/>
            <w:r>
              <w:rPr>
                <w:b w:val="0"/>
                <w:color w:val="1F2328"/>
                <w:sz w:val="18"/>
              </w:rPr>
              <w:t>No restriction inside the published wording</w:t>
            </w:r>
          </w:p>
        </w:tc>
        <w:tc>
          <w:tcPr>
            <w:tcW w:type="dxa" w:w="2008"/>
          </w:tcPr>
          <w:p>
            <w:r/>
            <w:r>
              <w:rPr>
                <w:b w:val="0"/>
                <w:color w:val="1F2328"/>
                <w:sz w:val="18"/>
              </w:rPr>
              <w:t>Withdraw the publication record when the page is retired</w:t>
            </w:r>
          </w:p>
        </w:tc>
      </w:tr>
      <w:tr>
        <w:trPr>
          <w:cantSplit/>
        </w:trPr>
        <w:tc>
          <w:tcPr>
            <w:tcW w:type="dxa" w:w="2008"/>
          </w:tcPr>
          <w:p>
            <w:r/>
            <w:r>
              <w:rPr>
                <w:b w:val="0"/>
                <w:color w:val="1F2328"/>
                <w:sz w:val="18"/>
              </w:rPr>
              <w:t>Internal</w:t>
            </w:r>
          </w:p>
        </w:tc>
        <w:tc>
          <w:tcPr>
            <w:tcW w:type="dxa" w:w="3912"/>
          </w:tcPr>
          <w:p>
            <w:r/>
            <w:r>
              <w:rPr>
                <w:b w:val="0"/>
                <w:color w:val="1F2328"/>
                <w:sz w:val="18"/>
              </w:rPr>
              <w:t>Arcfield-managed workspace with single sign-on</w:t>
            </w:r>
          </w:p>
        </w:tc>
        <w:tc>
          <w:tcPr>
            <w:tcW w:type="dxa" w:w="2152"/>
          </w:tcPr>
          <w:p>
            <w:r/>
            <w:r>
              <w:rPr>
                <w:b w:val="0"/>
                <w:color w:val="1F2328"/>
                <w:sz w:val="18"/>
              </w:rPr>
              <w:t>Arcfield staff and named contractors only</w:t>
            </w:r>
          </w:p>
        </w:tc>
        <w:tc>
          <w:tcPr>
            <w:tcW w:type="dxa" w:w="2008"/>
          </w:tcPr>
          <w:p>
            <w:r/>
            <w:r>
              <w:rPr>
                <w:b w:val="0"/>
                <w:color w:val="1F2328"/>
                <w:sz w:val="18"/>
              </w:rPr>
              <w:t>Follow the retention schedule for the record type</w:t>
            </w:r>
          </w:p>
        </w:tc>
      </w:tr>
      <w:tr>
        <w:trPr>
          <w:cantSplit/>
        </w:trPr>
        <w:tc>
          <w:tcPr>
            <w:tcW w:type="dxa" w:w="2008"/>
          </w:tcPr>
          <w:p>
            <w:r/>
            <w:r>
              <w:rPr>
                <w:b w:val="0"/>
                <w:color w:val="1F2328"/>
                <w:sz w:val="18"/>
              </w:rPr>
              <w:t>Confidential</w:t>
            </w:r>
          </w:p>
        </w:tc>
        <w:tc>
          <w:tcPr>
            <w:tcW w:type="dxa" w:w="3912"/>
          </w:tcPr>
          <w:p>
            <w:r/>
            <w:r>
              <w:rPr>
                <w:b w:val="0"/>
                <w:color w:val="1F2328"/>
                <w:sz w:val="18"/>
              </w:rPr>
              <w:t>Approved Arcfield Platform systems with encryption at rest</w:t>
            </w:r>
          </w:p>
        </w:tc>
        <w:tc>
          <w:tcPr>
            <w:tcW w:type="dxa" w:w="2152"/>
          </w:tcPr>
          <w:p>
            <w:r/>
            <w:r>
              <w:rPr>
                <w:b w:val="0"/>
                <w:color w:val="1F2328"/>
                <w:sz w:val="18"/>
              </w:rPr>
              <w:t>Named roles; no personal email or unapproved software service</w:t>
            </w:r>
          </w:p>
        </w:tc>
        <w:tc>
          <w:tcPr>
            <w:tcW w:type="dxa" w:w="2008"/>
          </w:tcPr>
          <w:p>
            <w:r/>
            <w:r>
              <w:rPr>
                <w:b w:val="0"/>
                <w:color w:val="1F2328"/>
                <w:sz w:val="18"/>
              </w:rPr>
              <w:t>Secure delete; cite the deletion record</w:t>
            </w:r>
          </w:p>
        </w:tc>
      </w:tr>
      <w:tr>
        <w:trPr>
          <w:cantSplit/>
        </w:trPr>
        <w:tc>
          <w:tcPr>
            <w:tcW w:type="dxa" w:w="2008"/>
          </w:tcPr>
          <w:p>
            <w:r/>
            <w:r>
              <w:rPr>
                <w:b w:val="0"/>
                <w:color w:val="1F2328"/>
                <w:sz w:val="18"/>
              </w:rPr>
              <w:t>Restricted</w:t>
            </w:r>
          </w:p>
        </w:tc>
        <w:tc>
          <w:tcPr>
            <w:tcW w:type="dxa" w:w="3912"/>
          </w:tcPr>
          <w:p>
            <w:r/>
            <w:r>
              <w:rPr>
                <w:b w:val="0"/>
                <w:color w:val="1F2328"/>
                <w:sz w:val="18"/>
              </w:rPr>
              <w:t>Approved secret store or health-data store only</w:t>
            </w:r>
          </w:p>
        </w:tc>
        <w:tc>
          <w:tcPr>
            <w:tcW w:type="dxa" w:w="2152"/>
          </w:tcPr>
          <w:p>
            <w:r/>
            <w:r>
              <w:rPr>
                <w:b w:val="0"/>
                <w:color w:val="1F2328"/>
                <w:sz w:val="18"/>
              </w:rPr>
              <w:t>Need-to-know; recorded access; no local copies</w:t>
            </w:r>
          </w:p>
        </w:tc>
        <w:tc>
          <w:tcPr>
            <w:tcW w:type="dxa" w:w="2008"/>
          </w:tcPr>
          <w:p>
            <w:r/>
            <w:r>
              <w:rPr>
                <w:b w:val="0"/>
                <w:color w:val="1F2328"/>
                <w:sz w:val="18"/>
              </w:rPr>
              <w:t>Crypto-shred or certified destruction; dual control</w:t>
            </w:r>
          </w:p>
        </w:tc>
      </w:tr>
    </w:tbl>
    <w:p>
      <w:pPr>
        <w:spacing w:before="0" w:after="120"/>
      </w:pPr>
    </w:p>
    <w:p>
      <w:pPr>
        <w:pStyle w:val="974"/>
        <w:outlineLvl w:val="1"/>
      </w:pPr>
      <w:bookmarkStart w:id="12" w:name="_TocRAM008"/>
      <w:r>
        <w:t>Ownership and review</w:t>
      </w:r>
      <w:bookmarkEnd w:id="12"/>
    </w:p>
    <w:p>
      <w:r>
        <w:rPr>
          <w:b w:val="0"/>
        </w:rPr>
        <w:t>Every classified Arcfield Platform asset has one named owner. A team name is not an owner. The owner confirms the level at creation, after a significant change, and at least annually. Reclassification is a documented change with the previous level, the new level and the reason. Cite this approved version from the asset inventory.</w:t>
      </w:r>
    </w:p>
    <w:tbl>
      <w:tblPr>
        <w:tblStyle w:val="1033"/>
        <w:tblW w:type="dxa" w:w="10080"/>
        <w:jc w:val="left"/>
        <w:tblLayout w:type="fixed"/>
        <w:tblLook w:firstColumn="1" w:firstRow="1" w:lastColumn="0" w:lastRow="0" w:noHBand="0" w:noVBand="1" w:val="04A0"/>
      </w:tblPr>
      <w:tblGrid>
        <w:gridCol w:w="2260"/>
        <w:gridCol w:w="3283"/>
        <w:gridCol w:w="4537"/>
      </w:tblGrid>
      <w:tr>
        <w:trPr>
          <w:tblHeader/>
          <w:cantSplit/>
        </w:trPr>
        <w:tc>
          <w:tcPr>
            <w:tcW w:type="dxa" w:w="2260"/>
            <w:shd w:fill="F7F9FC"/>
          </w:tcPr>
          <w:p>
            <w:r/>
            <w:r>
              <w:rPr>
                <w:b/>
                <w:color w:val="1F6FEB"/>
                <w:sz w:val="18"/>
              </w:rPr>
              <w:t>Duty</w:t>
            </w:r>
          </w:p>
        </w:tc>
        <w:tc>
          <w:tcPr>
            <w:tcW w:type="dxa" w:w="3283"/>
            <w:shd w:fill="F7F9FC"/>
          </w:tcPr>
          <w:p>
            <w:r/>
            <w:r>
              <w:rPr>
                <w:b/>
                <w:color w:val="1F6FEB"/>
                <w:sz w:val="18"/>
              </w:rPr>
              <w:t>Arcfield rule</w:t>
            </w:r>
          </w:p>
        </w:tc>
        <w:tc>
          <w:tcPr>
            <w:tcW w:type="dxa" w:w="4537"/>
            <w:shd w:fill="F7F9FC"/>
          </w:tcPr>
          <w:p>
            <w:r/>
            <w:r>
              <w:rPr>
                <w:b/>
                <w:color w:val="1F6FEB"/>
                <w:sz w:val="18"/>
              </w:rPr>
              <w:t>Evidence</w:t>
            </w:r>
          </w:p>
        </w:tc>
      </w:tr>
      <w:tr>
        <w:trPr>
          <w:cantSplit/>
        </w:trPr>
        <w:tc>
          <w:tcPr>
            <w:tcW w:type="dxa" w:w="2260"/>
          </w:tcPr>
          <w:p>
            <w:r/>
            <w:r>
              <w:rPr>
                <w:b w:val="0"/>
                <w:color w:val="1F2328"/>
                <w:sz w:val="18"/>
              </w:rPr>
              <w:t>Assign a named owner</w:t>
            </w:r>
          </w:p>
        </w:tc>
        <w:tc>
          <w:tcPr>
            <w:tcW w:type="dxa" w:w="3283"/>
          </w:tcPr>
          <w:p>
            <w:r/>
            <w:r>
              <w:rPr>
                <w:b w:val="0"/>
                <w:color w:val="1F2328"/>
                <w:sz w:val="18"/>
              </w:rPr>
              <w:t>Asset Manager records the owner in the inventory before the asset holds customer data.</w:t>
            </w:r>
          </w:p>
        </w:tc>
        <w:tc>
          <w:tcPr>
            <w:tcW w:type="dxa" w:w="4537"/>
          </w:tcPr>
          <w:p>
            <w:r/>
            <w:r>
              <w:rPr>
                <w:b w:val="0"/>
                <w:color w:val="1F2328"/>
                <w:sz w:val="18"/>
              </w:rPr>
              <w:t>Inventory owner field plus this Document ID</w:t>
            </w:r>
          </w:p>
        </w:tc>
      </w:tr>
      <w:tr>
        <w:trPr>
          <w:cantSplit/>
        </w:trPr>
        <w:tc>
          <w:tcPr>
            <w:tcW w:type="dxa" w:w="2260"/>
          </w:tcPr>
          <w:p>
            <w:r/>
            <w:r>
              <w:rPr>
                <w:b w:val="0"/>
                <w:color w:val="1F2328"/>
                <w:sz w:val="18"/>
              </w:rPr>
              <w:t>Review the level</w:t>
            </w:r>
          </w:p>
        </w:tc>
        <w:tc>
          <w:tcPr>
            <w:tcW w:type="dxa" w:w="3283"/>
          </w:tcPr>
          <w:p>
            <w:r/>
            <w:r>
              <w:rPr>
                <w:b w:val="0"/>
                <w:color w:val="1F2328"/>
                <w:sz w:val="18"/>
              </w:rPr>
              <w:t>Owner reviews Confidential and Restricted Arcfield Platform assets at least annually or after an incident.</w:t>
            </w:r>
          </w:p>
        </w:tc>
        <w:tc>
          <w:tcPr>
            <w:tcW w:type="dxa" w:w="4537"/>
          </w:tcPr>
          <w:p>
            <w:r/>
            <w:r>
              <w:rPr>
                <w:b w:val="0"/>
                <w:color w:val="1F2328"/>
                <w:sz w:val="18"/>
              </w:rPr>
              <w:t>Inventory last-review date</w:t>
            </w:r>
          </w:p>
        </w:tc>
      </w:tr>
      <w:tr>
        <w:trPr>
          <w:cantSplit/>
        </w:trPr>
        <w:tc>
          <w:tcPr>
            <w:tcW w:type="dxa" w:w="2260"/>
          </w:tcPr>
          <w:p>
            <w:r/>
            <w:r>
              <w:rPr>
                <w:b w:val="0"/>
                <w:color w:val="1F2328"/>
                <w:sz w:val="18"/>
              </w:rPr>
              <w:t>Reclassify</w:t>
            </w:r>
          </w:p>
        </w:tc>
        <w:tc>
          <w:tcPr>
            <w:tcW w:type="dxa" w:w="3283"/>
          </w:tcPr>
          <w:p>
            <w:r/>
            <w:r>
              <w:rPr>
                <w:b w:val="0"/>
                <w:color w:val="1F2328"/>
                <w:sz w:val="18"/>
              </w:rPr>
              <w:t>Downgrade only with written reason. Upgrade immediately when health data or secrets appear.</w:t>
            </w:r>
          </w:p>
        </w:tc>
        <w:tc>
          <w:tcPr>
            <w:tcW w:type="dxa" w:w="4537"/>
          </w:tcPr>
          <w:p>
            <w:r/>
            <w:r>
              <w:rPr>
                <w:b w:val="0"/>
                <w:color w:val="1F2328"/>
                <w:sz w:val="18"/>
              </w:rPr>
              <w:t>Change record citing ICP</w:t>
            </w:r>
          </w:p>
        </w:tc>
      </w:tr>
    </w:tbl>
    <w:p>
      <w:pPr>
        <w:spacing w:before="0" w:after="120"/>
      </w:pPr>
    </w:p>
    <w:p>
      <w:pPr>
        <w:pStyle w:val="974"/>
        <w:outlineLvl w:val="1"/>
      </w:pPr>
      <w:bookmarkStart w:id="13" w:name="_TocRAM009"/>
      <w:r>
        <w:t>External sharing</w:t>
      </w:r>
      <w:bookmarkEnd w:id="13"/>
    </w:p>
    <w:p>
      <w:r>
        <w:rPr>
          <w:b w:val="0"/>
        </w:rPr>
        <w:t>Share Arcfield Platform information outside Arcfield only at the approved level, with a named recipient, a purpose and a retrieval or deletion date. Hosting and laboratory suppliers receive Confidential or Restricted data only under a contract that names the split. Public marketing text is not a channel for customer data.</w:t>
      </w:r>
    </w:p>
    <w:tbl>
      <w:tblPr>
        <w:tblStyle w:val="1033"/>
        <w:tblW w:type="dxa" w:w="10080"/>
        <w:jc w:val="left"/>
        <w:tblLayout w:type="fixed"/>
        <w:tblLook w:firstColumn="1" w:firstRow="1" w:lastColumn="0" w:lastRow="0" w:noHBand="0" w:noVBand="1" w:val="04A0"/>
      </w:tblPr>
      <w:tblGrid>
        <w:gridCol w:w="2458"/>
        <w:gridCol w:w="2008"/>
        <w:gridCol w:w="5614"/>
      </w:tblGrid>
      <w:tr>
        <w:trPr>
          <w:tblHeader/>
          <w:cantSplit/>
        </w:trPr>
        <w:tc>
          <w:tcPr>
            <w:tcW w:type="dxa" w:w="2458"/>
            <w:shd w:fill="F7F9FC"/>
          </w:tcPr>
          <w:p>
            <w:r/>
            <w:r>
              <w:rPr>
                <w:b/>
                <w:color w:val="1F6FEB"/>
                <w:sz w:val="18"/>
              </w:rPr>
              <w:t>Channel</w:t>
            </w:r>
          </w:p>
        </w:tc>
        <w:tc>
          <w:tcPr>
            <w:tcW w:type="dxa" w:w="2008"/>
            <w:shd w:fill="F7F9FC"/>
          </w:tcPr>
          <w:p>
            <w:r/>
            <w:r>
              <w:rPr>
                <w:b/>
                <w:color w:val="1F6FEB"/>
                <w:sz w:val="18"/>
              </w:rPr>
              <w:t>Minimum level</w:t>
            </w:r>
          </w:p>
        </w:tc>
        <w:tc>
          <w:tcPr>
            <w:tcW w:type="dxa" w:w="5614"/>
            <w:shd w:fill="F7F9FC"/>
          </w:tcPr>
          <w:p>
            <w:r/>
            <w:r>
              <w:rPr>
                <w:b/>
                <w:color w:val="1F6FEB"/>
                <w:sz w:val="18"/>
              </w:rPr>
              <w:t>Rule</w:t>
            </w:r>
          </w:p>
        </w:tc>
      </w:tr>
      <w:tr>
        <w:trPr>
          <w:cantSplit/>
        </w:trPr>
        <w:tc>
          <w:tcPr>
            <w:tcW w:type="dxa" w:w="2458"/>
          </w:tcPr>
          <w:p>
            <w:r/>
            <w:r>
              <w:rPr>
                <w:b w:val="0"/>
                <w:color w:val="1F2328"/>
                <w:sz w:val="18"/>
              </w:rPr>
              <w:t>Customer tenant export</w:t>
            </w:r>
          </w:p>
        </w:tc>
        <w:tc>
          <w:tcPr>
            <w:tcW w:type="dxa" w:w="2008"/>
          </w:tcPr>
          <w:p>
            <w:r/>
            <w:r>
              <w:rPr>
                <w:b w:val="0"/>
                <w:color w:val="1F2328"/>
                <w:sz w:val="18"/>
              </w:rPr>
              <w:t>Confidential</w:t>
            </w:r>
          </w:p>
        </w:tc>
        <w:tc>
          <w:tcPr>
            <w:tcW w:type="dxa" w:w="5614"/>
          </w:tcPr>
          <w:p>
            <w:r/>
            <w:r>
              <w:rPr>
                <w:b w:val="0"/>
                <w:color w:val="1F2328"/>
                <w:sz w:val="18"/>
              </w:rPr>
              <w:t>Customer admin initiates; Arcfield logs the export; no copy into personal mail.</w:t>
            </w:r>
          </w:p>
        </w:tc>
      </w:tr>
      <w:tr>
        <w:trPr>
          <w:cantSplit/>
        </w:trPr>
        <w:tc>
          <w:tcPr>
            <w:tcW w:type="dxa" w:w="2458"/>
          </w:tcPr>
          <w:p>
            <w:r/>
            <w:r>
              <w:rPr>
                <w:b w:val="0"/>
                <w:color w:val="1F2328"/>
                <w:sz w:val="18"/>
              </w:rPr>
              <w:t>Supplier support</w:t>
            </w:r>
          </w:p>
        </w:tc>
        <w:tc>
          <w:tcPr>
            <w:tcW w:type="dxa" w:w="2008"/>
          </w:tcPr>
          <w:p>
            <w:r/>
            <w:r>
              <w:rPr>
                <w:b w:val="0"/>
                <w:color w:val="1F2328"/>
                <w:sz w:val="18"/>
              </w:rPr>
              <w:t>Confidential</w:t>
            </w:r>
          </w:p>
        </w:tc>
        <w:tc>
          <w:tcPr>
            <w:tcW w:type="dxa" w:w="5614"/>
          </w:tcPr>
          <w:p>
            <w:r/>
            <w:r>
              <w:rPr>
                <w:b w:val="0"/>
                <w:color w:val="1F2328"/>
                <w:sz w:val="18"/>
              </w:rPr>
              <w:t>Ticket stays in the approved platform. Restricted secrets go through privileged access, not the ticket body.</w:t>
            </w:r>
          </w:p>
        </w:tc>
      </w:tr>
      <w:tr>
        <w:trPr>
          <w:cantSplit/>
        </w:trPr>
        <w:tc>
          <w:tcPr>
            <w:tcW w:type="dxa" w:w="2458"/>
          </w:tcPr>
          <w:p>
            <w:r/>
            <w:r>
              <w:rPr>
                <w:b w:val="0"/>
                <w:color w:val="1F2328"/>
                <w:sz w:val="18"/>
              </w:rPr>
              <w:t>Auditor pack</w:t>
            </w:r>
          </w:p>
        </w:tc>
        <w:tc>
          <w:tcPr>
            <w:tcW w:type="dxa" w:w="2008"/>
          </w:tcPr>
          <w:p>
            <w:r/>
            <w:r>
              <w:rPr>
                <w:b w:val="0"/>
                <w:color w:val="1F2328"/>
                <w:sz w:val="18"/>
              </w:rPr>
              <w:t>Confidential</w:t>
            </w:r>
          </w:p>
        </w:tc>
        <w:tc>
          <w:tcPr>
            <w:tcW w:type="dxa" w:w="5614"/>
          </w:tcPr>
          <w:p>
            <w:r/>
            <w:r>
              <w:rPr>
                <w:b w:val="0"/>
                <w:color w:val="1F2328"/>
                <w:sz w:val="18"/>
              </w:rPr>
              <w:t>Cite this approved version. Redact Restricted secrets. Do not paste production data into the pack.</w:t>
            </w:r>
          </w:p>
        </w:tc>
      </w:tr>
    </w:tbl>
    <w:p>
      <w:pPr>
        <w:spacing w:before="0" w:after="120"/>
      </w:pPr>
    </w:p>
    <w:p>
      <w:pPr>
        <w:pStyle w:val="974"/>
        <w:outlineLvl w:val="1"/>
      </w:pPr>
      <w:bookmarkStart w:id="14" w:name="_TocRAM010"/>
      <w:r>
        <w:t>Exceptions</w:t>
      </w:r>
      <w:bookmarkEnd w:id="14"/>
    </w:p>
    <w:p>
      <w:r>
        <w:rPr>
          <w:b w:val="0"/>
        </w:rPr>
        <w:t>An exception to these levels or handling rules needs an owner, a compensating control, an expiry date and Top Management or Security Lead approval. An expired exception is a nonconformity, not a silent extension. Record it in the exception register and cite this approved version; do not hide it as a comment on a Arcfield Platform ticket.</w:t>
      </w:r>
    </w:p>
    <w:tbl>
      <w:tblPr>
        <w:tblStyle w:val="1033"/>
        <w:tblW w:type="dxa" w:w="10080"/>
        <w:jc w:val="left"/>
        <w:tblLayout w:type="fixed"/>
        <w:tblLook w:firstColumn="1" w:firstRow="1" w:lastColumn="0" w:lastRow="0" w:noHBand="0" w:noVBand="1" w:val="04A0"/>
      </w:tblPr>
      <w:tblGrid>
        <w:gridCol w:w="3052"/>
        <w:gridCol w:w="1468"/>
        <w:gridCol w:w="1720"/>
        <w:gridCol w:w="3840"/>
      </w:tblGrid>
      <w:tr>
        <w:trPr>
          <w:tblHeader/>
          <w:cantSplit/>
        </w:trPr>
        <w:tc>
          <w:tcPr>
            <w:tcW w:type="dxa" w:w="3052"/>
            <w:shd w:fill="F7F9FC"/>
          </w:tcPr>
          <w:p>
            <w:r/>
            <w:r>
              <w:rPr>
                <w:b/>
                <w:color w:val="1F6FEB"/>
                <w:sz w:val="18"/>
              </w:rPr>
              <w:t>Exception</w:t>
            </w:r>
          </w:p>
        </w:tc>
        <w:tc>
          <w:tcPr>
            <w:tcW w:type="dxa" w:w="1468"/>
            <w:shd w:fill="F7F9FC"/>
          </w:tcPr>
          <w:p>
            <w:r/>
            <w:r>
              <w:rPr>
                <w:b/>
                <w:color w:val="1F6FEB"/>
                <w:sz w:val="18"/>
              </w:rPr>
              <w:t>Owner</w:t>
            </w:r>
          </w:p>
        </w:tc>
        <w:tc>
          <w:tcPr>
            <w:tcW w:type="dxa" w:w="1720"/>
            <w:shd w:fill="F7F9FC"/>
          </w:tcPr>
          <w:p>
            <w:r/>
            <w:r>
              <w:rPr>
                <w:b/>
                <w:color w:val="1F6FEB"/>
                <w:sz w:val="18"/>
              </w:rPr>
              <w:t>Expiry</w:t>
            </w:r>
          </w:p>
        </w:tc>
        <w:tc>
          <w:tcPr>
            <w:tcW w:type="dxa" w:w="3840"/>
            <w:shd w:fill="F7F9FC"/>
          </w:tcPr>
          <w:p>
            <w:r/>
            <w:r>
              <w:rPr>
                <w:b/>
                <w:color w:val="1F6FEB"/>
                <w:sz w:val="18"/>
              </w:rPr>
              <w:t>Compensating control</w:t>
            </w:r>
          </w:p>
        </w:tc>
      </w:tr>
      <w:tr>
        <w:trPr>
          <w:cantSplit/>
        </w:trPr>
        <w:tc>
          <w:tcPr>
            <w:tcW w:type="dxa" w:w="3052"/>
          </w:tcPr>
          <w:p>
            <w:r/>
            <w:r>
              <w:rPr>
                <w:b w:val="0"/>
                <w:color w:val="1F2328"/>
                <w:sz w:val="18"/>
              </w:rPr>
              <w:t>Unlabelled historical export</w:t>
            </w:r>
          </w:p>
        </w:tc>
        <w:tc>
          <w:tcPr>
            <w:tcW w:type="dxa" w:w="1468"/>
          </w:tcPr>
          <w:p>
            <w:r/>
            <w:r>
              <w:rPr>
                <w:b w:val="0"/>
                <w:color w:val="1F2328"/>
                <w:sz w:val="18"/>
              </w:rPr>
              <w:t>ISMS Manager</w:t>
            </w:r>
          </w:p>
        </w:tc>
        <w:tc>
          <w:tcPr>
            <w:tcW w:type="dxa" w:w="1720"/>
          </w:tcPr>
          <w:p>
            <w:r/>
            <w:r>
              <w:rPr>
                <w:b w:val="0"/>
                <w:color w:val="1F2328"/>
                <w:sz w:val="18"/>
              </w:rPr>
              <w:t>2026-12-11</w:t>
            </w:r>
          </w:p>
        </w:tc>
        <w:tc>
          <w:tcPr>
            <w:tcW w:type="dxa" w:w="3840"/>
          </w:tcPr>
          <w:p>
            <w:r/>
            <w:r>
              <w:rPr>
                <w:b w:val="0"/>
                <w:color w:val="1F2328"/>
                <w:sz w:val="18"/>
              </w:rPr>
              <w:t>Restricted share folder, no further copies, deletion dated in RRS</w:t>
            </w:r>
          </w:p>
        </w:tc>
      </w:tr>
    </w:tbl>
    <w:p>
      <w:pPr>
        <w:spacing w:before="0" w:after="120"/>
      </w:pPr>
    </w:p>
    <w:p>
      <w:pPr>
        <w:pStyle w:val="974"/>
        <w:outlineLvl w:val="1"/>
      </w:pPr>
      <w:bookmarkStart w:id="15" w:name="_TocRAM011"/>
      <w:r>
        <w:t>Classified rules</w:t>
      </w:r>
      <w:bookmarkEnd w:id="15"/>
    </w:p>
    <w:p>
      <w:r>
        <w:rPr>
          <w:b w:val="0"/>
        </w:rPr>
        <w:t>These rows are the EXAMPLE_DECISION rules. The tables above remain the working Arcfield levels and handling scheme.</w:t>
      </w:r>
    </w:p>
    <w:tbl>
      <w:tblPr>
        <w:tblStyle w:val="1033"/>
        <w:tblW w:type="dxa" w:w="10080"/>
        <w:jc w:val="left"/>
        <w:tblLayout w:type="fixed"/>
        <w:tblLook w:firstColumn="1" w:firstRow="1" w:lastColumn="0" w:lastRow="0" w:noHBand="0" w:noVBand="1" w:val="04A0"/>
      </w:tblPr>
      <w:tblGrid>
        <w:gridCol w:w="1864"/>
        <w:gridCol w:w="2296"/>
        <w:gridCol w:w="2152"/>
        <w:gridCol w:w="1468"/>
        <w:gridCol w:w="2300"/>
      </w:tblGrid>
      <w:tr>
        <w:trPr>
          <w:tblHeader/>
          <w:cantSplit/>
        </w:trPr>
        <w:tc>
          <w:tcPr>
            <w:tcW w:type="dxa" w:w="1864"/>
            <w:shd w:fill="F7F9FC"/>
          </w:tcPr>
          <w:p>
            <w:r/>
            <w:r>
              <w:rPr>
                <w:b/>
                <w:color w:val="1F6FEB"/>
                <w:sz w:val="18"/>
              </w:rPr>
              <w:t>Rule ID</w:t>
            </w:r>
          </w:p>
        </w:tc>
        <w:tc>
          <w:tcPr>
            <w:tcW w:type="dxa" w:w="2296"/>
            <w:shd w:fill="F7F9FC"/>
          </w:tcPr>
          <w:p>
            <w:r/>
            <w:r>
              <w:rPr>
                <w:b/>
                <w:color w:val="1F6FEB"/>
                <w:sz w:val="18"/>
              </w:rPr>
              <w:t>Statement</w:t>
            </w:r>
          </w:p>
        </w:tc>
        <w:tc>
          <w:tcPr>
            <w:tcW w:type="dxa" w:w="2152"/>
            <w:shd w:fill="F7F9FC"/>
          </w:tcPr>
          <w:p>
            <w:r/>
            <w:r>
              <w:rPr>
                <w:b/>
                <w:color w:val="1F6FEB"/>
                <w:sz w:val="18"/>
              </w:rPr>
              <w:t>Scope</w:t>
            </w:r>
          </w:p>
        </w:tc>
        <w:tc>
          <w:tcPr>
            <w:tcW w:type="dxa" w:w="1468"/>
            <w:shd w:fill="F7F9FC"/>
          </w:tcPr>
          <w:p>
            <w:r/>
            <w:r>
              <w:rPr>
                <w:b/>
                <w:color w:val="1F6FEB"/>
                <w:sz w:val="18"/>
              </w:rPr>
              <w:t>Owner</w:t>
            </w:r>
          </w:p>
        </w:tc>
        <w:tc>
          <w:tcPr>
            <w:tcW w:type="dxa" w:w="2300"/>
            <w:shd w:fill="F7F9FC"/>
          </w:tcPr>
          <w:p>
            <w:r/>
            <w:r>
              <w:rPr>
                <w:b/>
                <w:color w:val="1F6FEB"/>
                <w:sz w:val="18"/>
              </w:rPr>
              <w:t>Evidence expectation</w:t>
            </w:r>
          </w:p>
        </w:tc>
      </w:tr>
      <w:tr>
        <w:trPr>
          <w:cantSplit/>
        </w:trPr>
        <w:tc>
          <w:tcPr>
            <w:tcW w:type="dxa" w:w="1864"/>
          </w:tcPr>
          <w:p>
            <w:r/>
            <w:r>
              <w:rPr>
                <w:b w:val="0"/>
                <w:color w:val="1F2328"/>
                <w:sz w:val="18"/>
              </w:rPr>
              <w:t>ICP-CLS-001</w:t>
            </w:r>
          </w:p>
        </w:tc>
        <w:tc>
          <w:tcPr>
            <w:tcW w:type="dxa" w:w="2296"/>
          </w:tcPr>
          <w:p>
            <w:r/>
            <w:r>
              <w:rPr>
                <w:b w:val="0"/>
                <w:color w:val="1F2328"/>
                <w:sz w:val="18"/>
              </w:rPr>
              <w:t>Public, Internal, Confidential and Restricted are the only approved levels. A colour, a folder name or 'sensitive' is not a level.</w:t>
            </w:r>
          </w:p>
        </w:tc>
        <w:tc>
          <w:tcPr>
            <w:tcW w:type="dxa" w:w="2152"/>
          </w:tcPr>
          <w:p>
            <w:r/>
            <w:r>
              <w:rPr>
                <w:b w:val="0"/>
                <w:color w:val="1F2328"/>
                <w:sz w:val="18"/>
              </w:rPr>
              <w:t>Every Arcfield Platform information asset before it is stored, shared or exported.</w:t>
            </w:r>
          </w:p>
        </w:tc>
        <w:tc>
          <w:tcPr>
            <w:tcW w:type="dxa" w:w="1468"/>
          </w:tcPr>
          <w:p>
            <w:r/>
            <w:r>
              <w:rPr>
                <w:b w:val="0"/>
                <w:color w:val="1F2328"/>
                <w:sz w:val="18"/>
              </w:rPr>
              <w:t>ISMS Manager</w:t>
            </w:r>
          </w:p>
        </w:tc>
        <w:tc>
          <w:tcPr>
            <w:tcW w:type="dxa" w:w="2300"/>
          </w:tcPr>
          <w:p>
            <w:r/>
            <w:r>
              <w:rPr>
                <w:b w:val="0"/>
                <w:color w:val="1F2328"/>
                <w:sz w:val="18"/>
              </w:rPr>
              <w:t>Expected: AI classification equal to one of the four levels. No observation is supplied.</w:t>
            </w:r>
          </w:p>
        </w:tc>
      </w:tr>
      <w:tr>
        <w:trPr>
          <w:cantSplit/>
        </w:trPr>
        <w:tc>
          <w:tcPr>
            <w:tcW w:type="dxa" w:w="1864"/>
          </w:tcPr>
          <w:p>
            <w:r/>
            <w:r>
              <w:rPr>
                <w:b w:val="0"/>
                <w:color w:val="1F2328"/>
                <w:sz w:val="18"/>
              </w:rPr>
              <w:t>ICP-HDL-001</w:t>
            </w:r>
          </w:p>
        </w:tc>
        <w:tc>
          <w:tcPr>
            <w:tcW w:type="dxa" w:w="2296"/>
          </w:tcPr>
          <w:p>
            <w:r/>
            <w:r>
              <w:rPr>
                <w:b w:val="0"/>
                <w:color w:val="1F2328"/>
                <w:sz w:val="18"/>
              </w:rPr>
              <w:t>Exports, screenshots and logs inherit the highest level of the data they contain. Support tickets with customer configuration are Confidential; identifiable customer PII and secrets are Restricted.</w:t>
            </w:r>
          </w:p>
        </w:tc>
        <w:tc>
          <w:tcPr>
            <w:tcW w:type="dxa" w:w="2152"/>
          </w:tcPr>
          <w:p>
            <w:r/>
            <w:r>
              <w:rPr>
                <w:b w:val="0"/>
                <w:color w:val="1F2328"/>
                <w:sz w:val="18"/>
              </w:rPr>
              <w:t>Transmission, storage and destruction of classified information.</w:t>
            </w:r>
          </w:p>
        </w:tc>
        <w:tc>
          <w:tcPr>
            <w:tcW w:type="dxa" w:w="1468"/>
          </w:tcPr>
          <w:p>
            <w:r/>
            <w:r>
              <w:rPr>
                <w:b w:val="0"/>
                <w:color w:val="1F2328"/>
                <w:sz w:val="18"/>
              </w:rPr>
              <w:t>ISMS Manager</w:t>
            </w:r>
          </w:p>
        </w:tc>
        <w:tc>
          <w:tcPr>
            <w:tcW w:type="dxa" w:w="2300"/>
          </w:tcPr>
          <w:p>
            <w:r/>
            <w:r>
              <w:rPr>
                <w:b w:val="0"/>
                <w:color w:val="1F2328"/>
                <w:sz w:val="18"/>
              </w:rPr>
              <w:t>Expected: handling row applied to the live record. No observation is supplied.</w:t>
            </w:r>
          </w:p>
        </w:tc>
      </w:tr>
      <w:tr>
        <w:trPr>
          <w:cantSplit/>
        </w:trPr>
        <w:tc>
          <w:tcPr>
            <w:tcW w:type="dxa" w:w="1864"/>
          </w:tcPr>
          <w:p>
            <w:r/>
            <w:r>
              <w:rPr>
                <w:b w:val="0"/>
                <w:color w:val="1F2328"/>
                <w:sz w:val="18"/>
              </w:rPr>
              <w:t>ICP-OWN-001</w:t>
            </w:r>
          </w:p>
        </w:tc>
        <w:tc>
          <w:tcPr>
            <w:tcW w:type="dxa" w:w="2296"/>
          </w:tcPr>
          <w:p>
            <w:r/>
            <w:r>
              <w:rPr>
                <w:b w:val="0"/>
                <w:color w:val="1F2328"/>
                <w:sz w:val="18"/>
              </w:rPr>
              <w:t>Every classified asset has one named owner. The owner confirms the level at creation, after a significant change, and at least annually for Confidential and Restricted.</w:t>
            </w:r>
          </w:p>
        </w:tc>
        <w:tc>
          <w:tcPr>
            <w:tcW w:type="dxa" w:w="2152"/>
          </w:tcPr>
          <w:p>
            <w:r/>
            <w:r>
              <w:rPr>
                <w:b w:val="0"/>
                <w:color w:val="1F2328"/>
                <w:sz w:val="18"/>
              </w:rPr>
              <w:t>Classified Arcfield Platform assets.</w:t>
            </w:r>
          </w:p>
        </w:tc>
        <w:tc>
          <w:tcPr>
            <w:tcW w:type="dxa" w:w="1468"/>
          </w:tcPr>
          <w:p>
            <w:r/>
            <w:r>
              <w:rPr>
                <w:b w:val="0"/>
                <w:color w:val="1F2328"/>
                <w:sz w:val="18"/>
              </w:rPr>
              <w:t>ISMS Manager</w:t>
            </w:r>
          </w:p>
        </w:tc>
        <w:tc>
          <w:tcPr>
            <w:tcW w:type="dxa" w:w="2300"/>
          </w:tcPr>
          <w:p>
            <w:r/>
            <w:r>
              <w:rPr>
                <w:b w:val="0"/>
                <w:color w:val="1F2328"/>
                <w:sz w:val="18"/>
              </w:rPr>
              <w:t>Expected: AI owner and last-review date. No observation is supplied.</w:t>
            </w:r>
          </w:p>
        </w:tc>
      </w:tr>
      <w:tr>
        <w:trPr>
          <w:cantSplit/>
        </w:trPr>
        <w:tc>
          <w:tcPr>
            <w:tcW w:type="dxa" w:w="1864"/>
          </w:tcPr>
          <w:p>
            <w:r/>
            <w:r>
              <w:rPr>
                <w:b w:val="0"/>
                <w:color w:val="1F2328"/>
                <w:sz w:val="18"/>
              </w:rPr>
              <w:t>ICP-SHR-001</w:t>
            </w:r>
          </w:p>
        </w:tc>
        <w:tc>
          <w:tcPr>
            <w:tcW w:type="dxa" w:w="2296"/>
          </w:tcPr>
          <w:p>
            <w:r/>
            <w:r>
              <w:rPr>
                <w:b w:val="0"/>
                <w:color w:val="1F2328"/>
                <w:sz w:val="18"/>
              </w:rPr>
              <w:t>Share outside Arcfield only at the approved level, with a named recipient, a purpose and a retrieval or deletion date. Public marketing text is not a channel for customer data.</w:t>
            </w:r>
          </w:p>
        </w:tc>
        <w:tc>
          <w:tcPr>
            <w:tcW w:type="dxa" w:w="2152"/>
          </w:tcPr>
          <w:p>
            <w:r/>
            <w:r>
              <w:rPr>
                <w:b w:val="0"/>
                <w:color w:val="1F2328"/>
                <w:sz w:val="18"/>
              </w:rPr>
              <w:t>Customer tenant exports, supplier support and auditor packs.</w:t>
            </w:r>
          </w:p>
        </w:tc>
        <w:tc>
          <w:tcPr>
            <w:tcW w:type="dxa" w:w="1468"/>
          </w:tcPr>
          <w:p>
            <w:r/>
            <w:r>
              <w:rPr>
                <w:b w:val="0"/>
                <w:color w:val="1F2328"/>
                <w:sz w:val="18"/>
              </w:rPr>
              <w:t>ISMS Manager</w:t>
            </w:r>
          </w:p>
        </w:tc>
        <w:tc>
          <w:tcPr>
            <w:tcW w:type="dxa" w:w="2300"/>
          </w:tcPr>
          <w:p>
            <w:r/>
            <w:r>
              <w:rPr>
                <w:b w:val="0"/>
                <w:color w:val="1F2328"/>
                <w:sz w:val="18"/>
              </w:rPr>
              <w:t>Expected: sharing record with recipient and date. No observation is supplied.</w:t>
            </w:r>
          </w:p>
        </w:tc>
      </w:tr>
      <w:tr>
        <w:trPr>
          <w:cantSplit/>
        </w:trPr>
        <w:tc>
          <w:tcPr>
            <w:tcW w:type="dxa" w:w="1864"/>
          </w:tcPr>
          <w:p>
            <w:r/>
            <w:r>
              <w:rPr>
                <w:b w:val="0"/>
                <w:color w:val="1F2328"/>
                <w:sz w:val="18"/>
              </w:rPr>
              <w:t>ICP-EXC-001</w:t>
            </w:r>
          </w:p>
        </w:tc>
        <w:tc>
          <w:tcPr>
            <w:tcW w:type="dxa" w:w="2296"/>
          </w:tcPr>
          <w:p>
            <w:r/>
            <w:r>
              <w:rPr>
                <w:b w:val="0"/>
                <w:color w:val="1F2328"/>
                <w:sz w:val="18"/>
              </w:rPr>
              <w:t>An exception to these levels or handling rules needs an owner, a compensating control, an expiry date and Security Lead or Top Management approval. An expired exception is a nonconformity.</w:t>
            </w:r>
          </w:p>
        </w:tc>
        <w:tc>
          <w:tcPr>
            <w:tcW w:type="dxa" w:w="2152"/>
          </w:tcPr>
          <w:p>
            <w:r/>
            <w:r>
              <w:rPr>
                <w:b w:val="0"/>
                <w:color w:val="1F2328"/>
                <w:sz w:val="18"/>
              </w:rPr>
              <w:t>Deviations from ICP-CLS-001 or ICP-HDL-001.</w:t>
            </w:r>
          </w:p>
        </w:tc>
        <w:tc>
          <w:tcPr>
            <w:tcW w:type="dxa" w:w="1468"/>
          </w:tcPr>
          <w:p>
            <w:r/>
            <w:r>
              <w:rPr>
                <w:b w:val="0"/>
                <w:color w:val="1F2328"/>
                <w:sz w:val="18"/>
              </w:rPr>
              <w:t>ISMS Manager</w:t>
            </w:r>
          </w:p>
        </w:tc>
        <w:tc>
          <w:tcPr>
            <w:tcW w:type="dxa" w:w="2300"/>
          </w:tcPr>
          <w:p>
            <w:r/>
            <w:r>
              <w:rPr>
                <w:b w:val="0"/>
                <w:color w:val="1F2328"/>
                <w:sz w:val="18"/>
              </w:rPr>
              <w:t>Expected: exception row with expiry. This Example names the register; it does not join another book's files. No observation is supplied.</w:t>
            </w:r>
          </w:p>
        </w:tc>
      </w:tr>
    </w:tbl>
    <w:p>
      <w:pPr>
        <w:spacing w:before="0" w:after="120"/>
      </w:pPr>
    </w:p>
    <w:p>
      <w:pPr>
        <w:pStyle w:val="974"/>
        <w:outlineLvl w:val="1"/>
      </w:pPr>
      <w:bookmarkStart w:id="16" w:name="_TocRAM012"/>
      <w:r>
        <w:t>Evidence expectations</w:t>
      </w:r>
      <w:bookmarkEnd w:id="16"/>
    </w:p>
    <w:p>
      <w:r>
        <w:rPr>
          <w:b w:val="0"/>
        </w:rPr>
        <w:t>Use this table to see what a named evidence ID can prove. It is not a log of collected observations.</w:t>
      </w:r>
    </w:p>
    <w:tbl>
      <w:tblPr>
        <w:tblStyle w:val="1033"/>
        <w:tblW w:type="dxa" w:w="10080"/>
        <w:jc w:val="left"/>
        <w:tblLayout w:type="fixed"/>
        <w:tblLook w:firstColumn="1" w:firstRow="1" w:lastColumn="0" w:lastRow="0" w:noHBand="0" w:noVBand="1" w:val="04A0"/>
      </w:tblPr>
      <w:tblGrid>
        <w:gridCol w:w="1720"/>
        <w:gridCol w:w="2008"/>
        <w:gridCol w:w="2876"/>
        <w:gridCol w:w="1468"/>
        <w:gridCol w:w="2008"/>
      </w:tblGrid>
      <w:tr>
        <w:trPr>
          <w:tblHeader/>
          <w:cantSplit/>
        </w:trPr>
        <w:tc>
          <w:tcPr>
            <w:tcW w:type="dxa" w:w="1720"/>
            <w:shd w:fill="F7F9FC"/>
          </w:tcPr>
          <w:p>
            <w:r/>
            <w:r>
              <w:rPr>
                <w:b/>
                <w:color w:val="1F6FEB"/>
                <w:sz w:val="18"/>
              </w:rPr>
              <w:t>Rule ID</w:t>
            </w:r>
          </w:p>
        </w:tc>
        <w:tc>
          <w:tcPr>
            <w:tcW w:type="dxa" w:w="2008"/>
            <w:shd w:fill="F7F9FC"/>
          </w:tcPr>
          <w:p>
            <w:r/>
            <w:r>
              <w:rPr>
                <w:b/>
                <w:color w:val="1F6FEB"/>
                <w:sz w:val="18"/>
              </w:rPr>
              <w:t>Statement</w:t>
            </w:r>
          </w:p>
        </w:tc>
        <w:tc>
          <w:tcPr>
            <w:tcW w:type="dxa" w:w="2876"/>
            <w:shd w:fill="F7F9FC"/>
          </w:tcPr>
          <w:p>
            <w:r/>
            <w:r>
              <w:rPr>
                <w:b/>
                <w:color w:val="1F6FEB"/>
                <w:sz w:val="18"/>
              </w:rPr>
              <w:t>Scope</w:t>
            </w:r>
          </w:p>
        </w:tc>
        <w:tc>
          <w:tcPr>
            <w:tcW w:type="dxa" w:w="1468"/>
            <w:shd w:fill="F7F9FC"/>
          </w:tcPr>
          <w:p>
            <w:r/>
            <w:r>
              <w:rPr>
                <w:b/>
                <w:color w:val="1F6FEB"/>
                <w:sz w:val="18"/>
              </w:rPr>
              <w:t>Owner</w:t>
            </w:r>
          </w:p>
        </w:tc>
        <w:tc>
          <w:tcPr>
            <w:tcW w:type="dxa" w:w="2008"/>
            <w:shd w:fill="F7F9FC"/>
          </w:tcPr>
          <w:p>
            <w:r/>
            <w:r>
              <w:rPr>
                <w:b/>
                <w:color w:val="1F6FEB"/>
                <w:sz w:val="18"/>
              </w:rPr>
              <w:t>Evidence expectation</w:t>
            </w:r>
          </w:p>
        </w:tc>
      </w:tr>
      <w:tr>
        <w:trPr>
          <w:cantSplit/>
        </w:trPr>
        <w:tc>
          <w:tcPr>
            <w:tcW w:type="dxa" w:w="1720"/>
          </w:tcPr>
          <w:p>
            <w:r/>
            <w:r>
              <w:rPr>
                <w:b w:val="0"/>
                <w:color w:val="1F2328"/>
                <w:sz w:val="18"/>
              </w:rPr>
              <w:t>ICP-EV-001</w:t>
            </w:r>
          </w:p>
        </w:tc>
        <w:tc>
          <w:tcPr>
            <w:tcW w:type="dxa" w:w="2008"/>
          </w:tcPr>
          <w:p>
            <w:r/>
            <w:r>
              <w:rPr>
                <w:b w:val="0"/>
                <w:color w:val="1F2328"/>
                <w:sz w:val="18"/>
              </w:rPr>
              <w:t>Each rule above states an evidence expectation. An identifier without a bound dataset is not collected evidence.</w:t>
            </w:r>
          </w:p>
        </w:tc>
        <w:tc>
          <w:tcPr>
            <w:tcW w:type="dxa" w:w="2876"/>
          </w:tcPr>
          <w:p>
            <w:r/>
            <w:r>
              <w:rPr>
                <w:b w:val="0"/>
                <w:color w:val="1F2328"/>
                <w:sz w:val="18"/>
              </w:rPr>
              <w:t>All ICP rules in this file.</w:t>
            </w:r>
          </w:p>
        </w:tc>
        <w:tc>
          <w:tcPr>
            <w:tcW w:type="dxa" w:w="1468"/>
          </w:tcPr>
          <w:p>
            <w:r/>
            <w:r>
              <w:rPr>
                <w:b w:val="0"/>
                <w:color w:val="1F2328"/>
                <w:sz w:val="18"/>
              </w:rPr>
              <w:t>ISMS Manager</w:t>
            </w:r>
          </w:p>
        </w:tc>
        <w:tc>
          <w:tcPr>
            <w:tcW w:type="dxa" w:w="2008"/>
          </w:tcPr>
          <w:p>
            <w:r/>
            <w:r>
              <w:rPr>
                <w:b w:val="0"/>
                <w:color w:val="1F2328"/>
                <w:sz w:val="18"/>
              </w:rPr>
              <w:t>Expected evidence reference; no evidence supplied. Do not render this row as an observation.</w:t>
            </w:r>
          </w:p>
        </w:tc>
      </w:tr>
    </w:tbl>
    <w:p>
      <w:pPr>
        <w:spacing w:before="0" w:after="120"/>
      </w:pPr>
    </w:p>
    <w:p>
      <w:pPr>
        <w:pStyle w:val="973"/>
        <w:outlineLvl w:val="0"/>
      </w:pPr>
      <w:bookmarkStart w:id="17" w:name="_TocRAM013"/>
      <w:bookmarkStart w:id="3" w:name="ref_evidence_and_records"/>
      <w:r>
        <w:t>Evidence and records</w:t>
      </w:r>
      <w:bookmarkEnd w:id="3"/>
      <w:bookmarkEnd w:id="17"/>
    </w:p>
    <w:p>
      <w:r>
        <w:rPr>
          <w:b w:val="0"/>
        </w:rPr>
        <w:t>These companions hold live records. This policy states what evidence it needs; it does not ship observations. An evidence ID without a dataset is an expectation. The Owner on the cover is accountable for those live records when you adopt the file.</w:t>
      </w:r>
    </w:p>
    <w:p>
      <w:pPr>
        <w:pStyle w:val="1006"/>
        <w:ind w:left="360" w:hanging="259"/>
        <w:numPr>
          <w:ilvl w:val="0"/>
          <w:numId w:val="12"/>
        </w:numPr>
      </w:pPr>
      <w:hyperlink r:id="rId19" w:history="1">
        <w:r>
          <w:rPr>
            <w:color w:val="0563C1"/>
            <w:u w:val="single"/>
          </w:rPr>
          <w:t xml:space="preserve">Mandatory Documents and Records Register</w:t>
        </w:r>
      </w:hyperlink>
      <w:r>
        <w:rPr>
          <w:b w:val="0"/>
        </w:rPr>
        <w:t xml:space="preserve"> — The 27 mandatory ISO 27001 documents and records, with owner, required status, approval, review cadence, location and evidence readiness.</w:t>
      </w:r>
    </w:p>
    <w:p>
      <w:pPr>
        <w:pStyle w:val="1006"/>
        <w:ind w:left="360" w:hanging="259"/>
        <w:numPr>
          <w:ilvl w:val="0"/>
          <w:numId w:val="12"/>
        </w:numPr>
      </w:pPr>
      <w:hyperlink r:id="rId20" w:history="1">
        <w:r>
          <w:rPr>
            <w:color w:val="0563C1"/>
            <w:u w:val="single"/>
          </w:rPr>
          <w:t xml:space="preserve">Document Register</w:t>
        </w:r>
      </w:hyperlink>
      <w:r>
        <w:rPr>
          <w:b w:val="0"/>
        </w:rPr>
        <w:t xml:space="preserve"> — Controlled documented information: origin, owner, approver, version, review cycle, retention and location.</w:t>
      </w:r>
    </w:p>
    <w:p>
      <w:pPr>
        <w:pStyle w:val="1006"/>
        <w:ind w:left="360" w:hanging="259"/>
        <w:numPr>
          <w:ilvl w:val="0"/>
          <w:numId w:val="12"/>
        </w:numPr>
      </w:pPr>
      <w:hyperlink r:id="rId21" w:history="1">
        <w:r>
          <w:rPr>
            <w:color w:val="0563C1"/>
            <w:u w:val="single"/>
          </w:rPr>
          <w:t xml:space="preserve">Records Retention Schedule</w:t>
        </w:r>
      </w:hyperlink>
      <w:r>
        <w:rPr>
          <w:b w:val="0"/>
        </w:rPr>
        <w:t xml:space="preserve"> — Retention rules for ISMS, security, privacy, audit and operational records, with owner, period, disposal method and evidence.</w:t>
      </w:r>
    </w:p>
    <w:p>
      <w:pPr>
        <w:pStyle w:val="973"/>
        <w:outlineLvl w:val="0"/>
      </w:pPr>
      <w:bookmarkStart w:id="18" w:name="_TocRAM014"/>
      <w:bookmarkStart w:id="4" w:name="ref_external_references"/>
      <w:r>
        <w:t>References</w:t>
      </w:r>
      <w:bookmarkEnd w:id="4"/>
      <w:bookmarkEnd w:id="18"/>
    </w:p>
    <w:p>
      <w:pPr>
        <w:pStyle w:val="974"/>
        <w:outlineLvl w:val="1"/>
      </w:pPr>
      <w:bookmarkStart w:id="19" w:name="_TocRAM015"/>
      <w:r>
        <w:t>Linked documents</w:t>
      </w:r>
      <w:bookmarkEnd w:id="19"/>
    </w:p>
    <w:p>
      <w:r>
        <w:rPr>
          <w:b w:val="0"/>
        </w:rPr>
        <w:t>Availability is by book pack. In-pack files may sit next to this document after unpack. Other-book files are named, not shipped in this Office pack.</w:t>
      </w:r>
    </w:p>
    <w:p>
      <w:pPr>
        <w:pStyle w:val="1006"/>
        <w:ind w:left="360" w:hanging="259"/>
        <w:numPr>
          <w:ilvl w:val="0"/>
          <w:numId w:val="13"/>
        </w:numPr>
      </w:pPr>
      <w:hyperlink r:id="rId16" w:history="1">
        <w:r>
          <w:rPr>
            <w:color w:val="0563C1"/>
            <w:u w:val="single"/>
          </w:rPr>
          <w:t xml:space="preserve">AI Asset Inventory</w:t>
        </w:r>
      </w:hyperlink>
      <w:r>
        <w:rPr>
          <w:b w:val="0"/>
        </w:rPr>
        <w:t xml:space="preserve"> — In-scope assets with owner, classification, hosting, personal-data flag and related risk In this book's pack when present.</w:t>
      </w:r>
    </w:p>
    <w:p>
      <w:pPr>
        <w:pStyle w:val="1006"/>
        <w:ind w:left="360" w:hanging="259"/>
        <w:numPr>
          <w:ilvl w:val="0"/>
          <w:numId w:val="13"/>
        </w:numPr>
      </w:pPr>
      <w:hyperlink r:id="rId17" w:history="1">
        <w:r>
          <w:rPr>
            <w:color w:val="0563C1"/>
            <w:u w:val="single"/>
          </w:rPr>
          <w:t xml:space="preserve">SINV Supplier Inventory</w:t>
        </w:r>
      </w:hyperlink>
      <w:r>
        <w:rPr>
          <w:b w:val="0"/>
        </w:rPr>
        <w:t xml:space="preserve"> — Security-relevant suppliers with tier, due diligence, contract controls, subprocessors and exit planning In this book's pack when present.</w:t>
      </w:r>
    </w:p>
    <w:p>
      <w:pPr>
        <w:pStyle w:val="1006"/>
        <w:ind w:left="360" w:hanging="259"/>
        <w:numPr>
          <w:ilvl w:val="0"/>
          <w:numId w:val="13"/>
        </w:numPr>
      </w:pPr>
      <w:hyperlink r:id="rId18" w:history="1">
        <w:r>
          <w:rPr>
            <w:color w:val="0563C1"/>
            <w:u w:val="single"/>
          </w:rPr>
          <w:t xml:space="preserve">UAI Users and Access Inventory</w:t>
        </w:r>
      </w:hyperlink>
      <w:r>
        <w:rPr>
          <w:b w:val="0"/>
        </w:rPr>
        <w:t xml:space="preserve"> — Users and accounts with access rights, privileged access, MFA status, reviews and revocations In this book's pack when present.</w:t>
      </w:r>
    </w:p>
    <w:p>
      <w:pPr>
        <w:pStyle w:val="1006"/>
        <w:ind w:left="360" w:hanging="259"/>
        <w:numPr>
          <w:ilvl w:val="0"/>
          <w:numId w:val="13"/>
        </w:numPr>
      </w:pPr>
      <w:hyperlink r:id="rId19" w:history="1">
        <w:r>
          <w:rPr>
            <w:color w:val="0563C1"/>
            <w:u w:val="single"/>
          </w:rPr>
          <w:t xml:space="preserve">MDR Mandatory Documents and Records Register</w:t>
        </w:r>
      </w:hyperlink>
      <w:r>
        <w:rPr>
          <w:b w:val="0"/>
        </w:rPr>
        <w:t xml:space="preserve"> — The 27 mandatory ISO 27001 documents and records, with owner, required status, approval, review cadence, location and evidence readiness Another book's pack, not this Office pack.</w:t>
      </w:r>
    </w:p>
    <w:p>
      <w:pPr>
        <w:pStyle w:val="1006"/>
        <w:ind w:left="360" w:hanging="259"/>
        <w:numPr>
          <w:ilvl w:val="0"/>
          <w:numId w:val="13"/>
        </w:numPr>
      </w:pPr>
      <w:hyperlink r:id="rId20" w:history="1">
        <w:r>
          <w:rPr>
            <w:color w:val="0563C1"/>
            <w:u w:val="single"/>
          </w:rPr>
          <w:t xml:space="preserve">DR Document Register</w:t>
        </w:r>
      </w:hyperlink>
      <w:r>
        <w:rPr>
          <w:b w:val="0"/>
        </w:rPr>
        <w:t xml:space="preserve"> — Controlled documented information: origin, owner, approver, version, review cycle, retention and location In this book's pack when present.</w:t>
      </w:r>
    </w:p>
    <w:p>
      <w:pPr>
        <w:pStyle w:val="1006"/>
        <w:ind w:left="360" w:hanging="259"/>
        <w:numPr>
          <w:ilvl w:val="0"/>
          <w:numId w:val="13"/>
        </w:numPr>
      </w:pPr>
      <w:hyperlink r:id="rId21" w:history="1">
        <w:r>
          <w:rPr>
            <w:color w:val="0563C1"/>
            <w:u w:val="single"/>
          </w:rPr>
          <w:t xml:space="preserve">RRS Records Retention Schedule</w:t>
        </w:r>
      </w:hyperlink>
      <w:r>
        <w:rPr>
          <w:b w:val="0"/>
        </w:rPr>
        <w:t xml:space="preserve"> — Retention rules for ISMS, security, privacy, audit and operational records, with owner, period, disposal method and evidence Another book's pack, not this Office pack.</w:t>
      </w:r>
    </w:p>
    <w:p>
      <w:pPr>
        <w:pStyle w:val="1006"/>
        <w:ind w:left="360" w:hanging="259"/>
        <w:numPr>
          <w:ilvl w:val="0"/>
          <w:numId w:val="13"/>
        </w:numPr>
      </w:pPr>
      <w:hyperlink r:id="rId22" w:history="1">
        <w:r>
          <w:rPr>
            <w:color w:val="0563C1"/>
            <w:u w:val="single"/>
          </w:rPr>
          <w:t xml:space="preserve">DCP Document Control Procedure (Secure Engineering, Access Control &amp; Identity Management)</w:t>
        </w:r>
      </w:hyperlink>
      <w:r>
        <w:rPr>
          <w:b w:val="0"/>
        </w:rPr>
        <w:t xml:space="preserve"> — Interface record. Cite this Document Control version; do not copy this file into that record Another book's pack, not this Office pack.</w:t>
      </w:r>
    </w:p>
    <w:p>
      <w:pPr>
        <w:pStyle w:val="1006"/>
        <w:ind w:left="360" w:hanging="259"/>
        <w:numPr>
          <w:ilvl w:val="0"/>
          <w:numId w:val="13"/>
        </w:numPr>
      </w:pPr>
      <w:hyperlink r:id="rId23" w:history="1">
        <w:r>
          <w:rPr>
            <w:color w:val="0563C1"/>
            <w:u w:val="single"/>
          </w:rPr>
          <w:t xml:space="preserve">MME Monitoring and Measurement Evidence (Implementation &amp; Certification, Monitoring, Measurement &amp; Performance Metrics)</w:t>
        </w:r>
      </w:hyperlink>
      <w:r>
        <w:rPr>
          <w:b w:val="0"/>
        </w:rPr>
        <w:t xml:space="preserve"> — Interface record. Cite this Document Control version; do not copy this file into that record In this book's pack when present.</w:t>
      </w:r>
    </w:p>
    <w:p>
      <w:pPr>
        <w:pStyle w:val="1006"/>
        <w:ind w:left="360" w:hanging="259"/>
        <w:numPr>
          <w:ilvl w:val="0"/>
          <w:numId w:val="13"/>
        </w:numPr>
      </w:pPr>
      <w:hyperlink r:id="rId24" w:history="1">
        <w:r>
          <w:rPr>
            <w:color w:val="0563C1"/>
            <w:u w:val="single"/>
          </w:rPr>
          <w:t xml:space="preserve">SRP Supplier Relationships Policy (Building the ISMS, Supplier Security &amp; Third-party Risk Management)</w:t>
        </w:r>
      </w:hyperlink>
      <w:r>
        <w:rPr>
          <w:b w:val="0"/>
        </w:rPr>
        <w:t xml:space="preserve"> — Interface record. Cite this Document Control version; do not copy this file into that record In this book's pack when present.</w:t>
      </w:r>
    </w:p>
    <w:p>
      <w:pPr>
        <w:pStyle w:val="974"/>
        <w:outlineLvl w:val="1"/>
      </w:pPr>
      <w:bookmarkStart w:id="20" w:name="_TocRAM016"/>
      <w:r>
        <w:t>External references</w:t>
      </w:r>
      <w:bookmarkEnd w:id="20"/>
    </w:p>
    <w:p>
      <w:r>
        <w:rPr>
          <w:b w:val="0"/>
        </w:rPr>
        <w:t>Cite these ISO clauses and book chapters from workshops and audits.</w:t>
      </w:r>
    </w:p>
    <w:p>
      <w:pPr>
        <w:pStyle w:val="1006"/>
        <w:ind w:left="360" w:hanging="259"/>
        <w:numPr>
          <w:ilvl w:val="0"/>
          <w:numId w:val="14"/>
        </w:numPr>
      </w:pPr>
      <w:hyperlink r:id="rId25" w:history="1">
        <w:r>
          <w:rPr>
            <w:color w:val="0563C1"/>
            <w:u w:val="single"/>
          </w:rPr>
          <w:t xml:space="preserve">ISO/IEC 27001:2022</w:t>
        </w:r>
      </w:hyperlink>
      <w:r>
        <w:rPr>
          <w:b w:val="0"/>
        </w:rPr>
        <w:t xml:space="preserve"> — Normative ISMS requirements this companion artifact supports.</w:t>
      </w:r>
    </w:p>
    <w:p>
      <w:pPr>
        <w:pStyle w:val="1006"/>
        <w:ind w:left="360" w:hanging="259"/>
        <w:numPr>
          <w:ilvl w:val="0"/>
          <w:numId w:val="14"/>
        </w:numPr>
      </w:pPr>
      <w:hyperlink r:id="rId26" w:history="1">
        <w:r>
          <w:rPr>
            <w:color w:val="0563C1"/>
            <w:u w:val="single"/>
          </w:rPr>
          <w:t xml:space="preserve">Building the ISMS, Information Security Policies &amp; Risk Management</w:t>
        </w:r>
      </w:hyperlink>
      <w:r>
        <w:rPr>
          <w:b w:val="0"/>
        </w:rPr>
        <w:t xml:space="preserve"> — Primary operating chapter for this companion artifact.</w:t>
      </w:r>
    </w:p>
    <w:p>
      <w:pPr>
        <w:pStyle w:val="1006"/>
        <w:ind w:left="360" w:hanging="259"/>
        <w:numPr>
          <w:ilvl w:val="0"/>
          <w:numId w:val="14"/>
        </w:numPr>
      </w:pPr>
      <w:hyperlink r:id="rId27" w:history="1">
        <w:r>
          <w:rPr>
            <w:color w:val="0563C1"/>
            <w:u w:val="single"/>
          </w:rPr>
          <w:t xml:space="preserve">Implementation &amp; Certification, Asset Management &amp; Information Classification</w:t>
        </w:r>
      </w:hyperlink>
      <w:r>
        <w:rPr>
          <w:b w:val="0"/>
        </w:rPr>
        <w:t xml:space="preserve"> — Primary operating chapter for this companion artifact.</w:t>
      </w:r>
    </w:p>
    <w:p>
      <w:pPr>
        <w:pStyle w:val="1006"/>
        <w:ind w:left="360" w:hanging="259"/>
        <w:numPr>
          <w:ilvl w:val="0"/>
          <w:numId w:val="14"/>
        </w:numPr>
      </w:pPr>
      <w:hyperlink r:id="rId26" w:history="1">
        <w:r>
          <w:rPr>
            <w:color w:val="0563C1"/>
            <w:u w:val="single"/>
          </w:rPr>
          <w:t xml:space="preserve">Building the ISMS, Planning, Risk &amp; Objectives (Clause 6)</w:t>
        </w:r>
      </w:hyperlink>
      <w:r>
        <w:rPr>
          <w:b w:val="0"/>
        </w:rPr>
        <w:t xml:space="preserve"> — Documented information, review and version discipline.</w:t>
      </w:r>
    </w:p>
    <w:p>
      <w:pPr>
        <w:pStyle w:val="1006"/>
        <w:ind w:left="360" w:hanging="259"/>
        <w:numPr>
          <w:ilvl w:val="0"/>
          <w:numId w:val="14"/>
        </w:numPr>
      </w:pPr>
      <w:hyperlink r:id="rId26" w:history="1">
        <w:r>
          <w:rPr>
            <w:color w:val="0563C1"/>
            <w:u w:val="single"/>
          </w:rPr>
          <w:t xml:space="preserve">Building the ISMS, Information Security Policies &amp; Risk Management</w:t>
        </w:r>
      </w:hyperlink>
      <w:r>
        <w:rPr>
          <w:b w:val="0"/>
        </w:rPr>
        <w:t xml:space="preserve"> — Chapter cited in this document's hints.</w:t>
      </w:r>
    </w:p>
    <w:sectPr>
      <w:headerReference w:type="default" r:id="rId10"/>
      <w:footerReference w:type="default" r:id="rId11"/>
      <w:headerReference w:type="first" r:id="rId14"/>
      <w:footerReference w:type="first" r:id="rId15"/>
      <w:footnotePr/>
      <w:endnotePr/>
      <w:type w:val="nextPage"/>
      <w:pgSz w:h="15840" w:orient="portrait" w:w="12240"/>
      <w:pgMar w:top="1008" w:right="1080" w:bottom="1008" w:left="1080" w:header="720" w:footer="720" w:gutter="0"/>
      <w:cols w:num="1" w:sep="0" w:space="720" w:equalWidth="1"/>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Symbol">
    <w:panose1 w:val="05010000000000000000"/>
  </w:font>
  <w:font w:name="Courier"/>
  <w:font w:name="Arial">
    <w:panose1 w:val="020B0604020202020204"/>
  </w:font>
  <w:font w:name="Times New Roman">
    <w:panose1 w:val="020206030504050203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Style w:val="1033"/>
      <w:tblW w:w="0" w:type="auto"/>
      <w:tblBorders/>
      <w:tblLayout w:type="fixed"/>
      <w:tblLook w:val="04A0" w:firstRow="1" w:lastRow="0" w:firstColumn="1" w:lastColumn="0" w:noHBand="0" w:noVBand="1"/>
    </w:tblPr>
    <w:tblGrid>
      <w:gridCol w:w="8949"/>
      <w:gridCol w:w="1131"/>
    </w:tblGrid>
    <w:tr>
      <w:trPr/>
      <w:tc>
        <w:tcPr>
          <w:tcBorders>
            <w:top w:val="none" w:color="000000" w:sz="4" w:space="0"/>
            <w:left w:val="none" w:color="000000" w:sz="4" w:space="0"/>
            <w:bottom w:val="none" w:color="000000" w:sz="4" w:space="0"/>
            <w:right w:val="none" w:color="000000" w:sz="4" w:space="0"/>
          </w:tcBorders>
          <w:tcW w:w="8949" w:type="dxa"/>
        </w:tcPr>
        <w:p w14:paraId="5CF692DF">
          <w:pPr>
            <w:pStyle w:val="971"/>
            <w:pBdr/>
            <w:spacing/>
            <w:ind/>
            <w:jc w:val="left"/>
            <w:rPr/>
          </w:pPr>
          <w:r>
            <w:rPr>
              <w:sz w:val="16"/>
            </w:rPr>
            <w:t xml:space="preserve">© </w:t>
          </w:r>
          <w:r>
            <w:rPr>
              <w:sz w:val="16"/>
              <w:lang w:val="es-ES"/>
            </w:rPr>
            <w:t xml:space="preserve">2026</w:t>
          </w:r>
          <w:r>
            <w:rPr>
              <w:sz w:val="16"/>
            </w:rPr>
            <w:t xml:space="preserve">.</w:t>
          </w:r>
          <w:r>
            <w:rPr>
              <w:sz w:val="16"/>
              <w:lang w:val="es-ES"/>
            </w:rPr>
            <w:t xml:space="preserve"> MessemerTech O</w:t>
          </w:r>
          <w:r>
            <w:rPr>
              <w:sz w:val="16"/>
              <w:lang w:val="es-ES"/>
            </w:rPr>
            <w:t xml:space="preserve">Ü</w:t>
          </w:r>
          <w:r>
            <w:rPr>
              <w:sz w:val="16"/>
              <w:lang w:val="es-ES"/>
            </w:rPr>
            <w:t xml:space="preserve">.</w:t>
          </w:r>
          <w:r>
            <w:rPr>
              <w:sz w:val="16"/>
            </w:rPr>
            <w:t xml:space="preserve"> ExportableProof is an imprint of MessemerTech. All rights reserved.</w:t>
          </w:r>
          <w:r>
            <w:rPr>
              <w:sz w:val="16"/>
              <w:lang w:val="es-ES"/>
            </w:rPr>
            <w:t xml:space="preserve"> </w:t>
          </w:r>
          <w:r/>
        </w:p>
        <w:p w14:paraId="4D434DCC">
          <w:pPr>
            <w:pStyle w:val="971"/>
            <w:pBdr/>
            <w:spacing/>
            <w:ind/>
            <w:jc w:val="center"/>
            <w:rPr>
              <w:sz w:val="16"/>
              <w:szCs w:val="16"/>
            </w:rPr>
          </w:pPr>
          <w:r>
            <w:rPr>
              <w:sz w:val="16"/>
              <w:szCs w:val="16"/>
            </w:rPr>
          </w:r>
          <w:r>
            <w:rPr>
              <w:sz w:val="16"/>
              <w:szCs w:val="16"/>
            </w:rPr>
          </w:r>
          <w:r>
            <w:rPr>
              <w:sz w:val="16"/>
              <w:szCs w:val="16"/>
            </w:rPr>
          </w:r>
        </w:p>
      </w:tc>
      <w:tc>
        <w:tcPr>
          <w:tcBorders>
            <w:top w:val="none" w:color="000000" w:sz="4" w:space="0"/>
            <w:left w:val="none" w:color="000000" w:sz="4" w:space="0"/>
            <w:bottom w:val="none" w:color="000000" w:sz="4" w:space="0"/>
            <w:right w:val="none" w:color="000000" w:sz="4" w:space="0"/>
          </w:tcBorders>
          <w:tcW w:w="1131" w:type="dxa"/>
        </w:tcPr>
        <w:p w14:paraId="3F298D0C">
          <w:pPr>
            <w:pStyle w:val="971"/>
            <w:pBdr/>
            <w:spacing/>
            <w:ind/>
            <w:jc w:val="center"/>
            <w:rPr>
              <w:sz w:val="16"/>
              <w:szCs w:val="16"/>
            </w:rPr>
          </w:pPr>
          <w:r>
            <w:rPr>
              <w:sz w:val="16"/>
              <w:szCs w:val="16"/>
            </w:rPr>
          </w:r>
          <w:r>
            <w:rPr>
              <w:sz w:val="16"/>
              <w:lang w:val="es-ES"/>
            </w:rPr>
            <w:t xml:space="preserve">Page </w:t>
          </w:r>
          <w:fldSimple w:instr="PAGE \* MERGEFORMAT">
            <w:r>
              <w:rPr>
                <w:sz w:val="16"/>
                <w:lang w:val="es-ES"/>
              </w:rPr>
              <w:t xml:space="preserve">1</w:t>
            </w:r>
          </w:fldSimple>
          <w:r>
            <w:rPr>
              <w:sz w:val="16"/>
              <w:lang w:val="es-ES"/>
            </w:rPr>
          </w:r>
          <w:r>
            <w:rPr>
              <w:sz w:val="16"/>
              <w:szCs w:val="16"/>
            </w:rPr>
          </w:r>
          <w:r>
            <w:rPr>
              <w:sz w:val="16"/>
              <w:szCs w:val="16"/>
            </w:rPr>
          </w:r>
        </w:p>
      </w:tc>
    </w:tr>
  </w:tbl>
  <w:p>
    <w:pPr>
      <w:pStyle w:val="971"/>
      <w:pBdr/>
      <w:spacing/>
      <w:ind/>
      <w:jc w:val="center"/>
      <w:rPr/>
    </w:pPr>
    <w:r>
      <w:rPr>
        <w:sz w:val="16"/>
      </w:rPr>
    </w:r>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separator/>
      </w:r>
      <w:r/>
    </w:p>
  </w:footnote>
  <w:footnote w:type="continuationSeparator" w:id="0">
    <w:p>
      <w:pPr>
        <w:pBdr/>
        <w:spacing w:after="0" w:line="240" w:lineRule="auto"/>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2D8C6AB4">
    <w:pPr>
      <w:pStyle w:val="969"/>
      <w:pBdr/>
      <w:spacing/>
      <w:ind/>
      <w:rPr/>
    </w:pPr>
    <w:r/>
    <w:r/>
  </w:p>
  <w:tbl>
    <w:tblPr>
      <w:tblStyle w:val="1033"/>
      <w:tblW w:w="0" w:type="auto"/>
      <w:tblBorders/>
      <w:tblLayout w:type="fixed"/>
      <w:tblLook w:val="04A0" w:firstRow="1" w:lastRow="0" w:firstColumn="1" w:lastColumn="0" w:noHBand="0" w:noVBand="1"/>
    </w:tblPr>
    <w:tblGrid>
      <w:gridCol w:w="7674"/>
      <w:gridCol w:w="2409"/>
    </w:tblGrid>
    <w:tr>
      <w:trPr/>
      <w:tc>
        <w:tcPr>
          <w:tcBorders>
            <w:top w:val="none" w:color="000000" w:sz="4" w:space="0"/>
            <w:left w:val="none" w:color="000000" w:sz="4" w:space="0"/>
            <w:bottom w:val="none" w:color="000000" w:sz="4" w:space="0"/>
            <w:right w:val="none" w:color="000000" w:sz="4" w:space="0"/>
          </w:tcBorders>
          <w:tcW w:w="7674" w:type="dxa"/>
        </w:tcPr>
        <w:p w14:paraId="0010B06F">
          <w:pPr>
            <w:pStyle w:val="969"/>
            <w:pBdr/>
            <w:spacing/>
            <w:ind/>
            <w:rPr/>
          </w:pPr>
          <w:r>
            <w:rPr>
              <w:lang w:val="es-ES"/>
            </w:rPr>
            <w:t xml:space="preserve">Information Classification Policy (ICP)</w:t>
          </w:r>
          <w:r/>
        </w:p>
      </w:tc>
      <w:tc>
        <w:tcPr>
          <w:tcBorders>
            <w:top w:val="none" w:color="000000" w:sz="4" w:space="0"/>
            <w:left w:val="none" w:color="000000" w:sz="4" w:space="0"/>
            <w:bottom w:val="none" w:color="000000" w:sz="4" w:space="0"/>
            <w:right w:val="none" w:color="000000" w:sz="4" w:space="0"/>
          </w:tcBorders>
          <w:tcW w:w="2409" w:type="dxa"/>
        </w:tcPr>
        <w:p w14:paraId="7DF2328B">
          <w:pPr>
            <w:pStyle w:val="969"/>
            <w:pBdr/>
            <w:spacing/>
            <w:ind/>
            <w:rPr/>
          </w:pPr>
          <w:r>
            <mc:AlternateContent>
              <mc:Choice Requires="wpg">
                <w:drawing>
                  <wp:inline xmlns:wp="http://schemas.openxmlformats.org/drawingml/2006/wordprocessingDrawing" distT="0" distB="0" distL="0" distR="0">
                    <wp:extent cx="1510455" cy="377614"/>
                    <wp:effectExtent l="0" t="0" r="0" b="0"/>
                    <wp:docPr id="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732848" name=""/>
                            <pic:cNvPicPr>
                              <a:picLocks noChangeAspect="1"/>
                            </pic:cNvPicPr>
                            <pic:nvPr/>
                          </pic:nvPicPr>
                          <pic:blipFill rotWithShape="1">
                            <a:blip r:embed="rId1"/>
                            <a:stretch/>
                          </pic:blipFill>
                          <pic:spPr bwMode="auto">
                            <a:xfrm flipH="0" flipV="0">
                              <a:off x="0" y="0"/>
                              <a:ext cx="1510454" cy="37761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118.93pt;height:29.73pt;mso-wrap-distance-left:0.00pt;mso-wrap-distance-top:0.00pt;mso-wrap-distance-right:0.00pt;mso-wrap-distance-bottom:0.00pt;z-index:1;" stroked="false">
                    <v:imagedata r:id="rId1" o:title=""/>
                    <o:lock v:ext="edit" rotation="t"/>
                  </v:shape>
                </w:pict>
              </mc:Fallback>
            </mc:AlternateContent>
          </w:r>
          <w:r/>
        </w:p>
      </w:tc>
    </w:tr>
  </w:tbl>
  <w:p w14:paraId="149041BC">
    <w:pPr>
      <w:pStyle w:val="969"/>
      <w:pBdr/>
      <w:spacing/>
      <w:ind/>
      <w:rPr/>
    </w:pPr>
    <w:r/>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lvl w:ilvl="0">
      <w:isLgl w:val="false"/>
      <w:lvlJc w:val="left"/>
      <w:lvlText w:val="%1."/>
      <w:numFmt w:val="decimal"/>
      <w:pPr>
        <w:pBdr/>
        <w:tabs>
          <w:tab w:val="num" w:leader="none" w:pos="1800"/>
        </w:tabs>
        <w:spacing/>
        <w:ind w:hanging="360" w:left="1800"/>
      </w:pPr>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1">
    <w:nsid w:val="FFFFFF7D"/>
    <w:lvl w:ilvl="0">
      <w:isLgl w:val="false"/>
      <w:lvlJc w:val="left"/>
      <w:lvlText w:val="%1."/>
      <w:numFmt w:val="decimal"/>
      <w:pPr>
        <w:pBdr/>
        <w:tabs>
          <w:tab w:val="num" w:leader="none" w:pos="1440"/>
        </w:tabs>
        <w:spacing/>
        <w:ind w:hanging="360" w:left="1440"/>
      </w:pPr>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2">
    <w:nsid w:val="FFFFFF7E"/>
    <w:lvl w:ilvl="0">
      <w:isLgl w:val="false"/>
      <w:lvlJc w:val="left"/>
      <w:lvlText w:val="%1."/>
      <w:numFmt w:val="decimal"/>
      <w:pPr>
        <w:pBdr/>
        <w:tabs>
          <w:tab w:val="num" w:leader="none" w:pos="1080"/>
        </w:tabs>
        <w:spacing/>
        <w:ind w:hanging="360" w:left="1080"/>
      </w:pPr>
      <w:pStyle w:val="1008"/>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3">
    <w:nsid w:val="FFFFFF7F"/>
    <w:lvl w:ilvl="0">
      <w:isLgl w:val="false"/>
      <w:lvlJc w:val="left"/>
      <w:lvlText w:val="%1."/>
      <w:numFmt w:val="decimal"/>
      <w:pPr>
        <w:pBdr/>
        <w:tabs>
          <w:tab w:val="num" w:leader="none" w:pos="720"/>
        </w:tabs>
        <w:spacing/>
        <w:ind w:hanging="360" w:left="720"/>
      </w:pPr>
      <w:pStyle w:val="1007"/>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4">
    <w:nsid w:val="FFFFFF81"/>
    <w:lvl w:ilvl="0">
      <w:isLgl w:val="false"/>
      <w:lvlJc w:val="left"/>
      <w:lvlText w:val=""/>
      <w:numFmt w:val="bullet"/>
      <w:pPr>
        <w:pBdr/>
        <w:tabs>
          <w:tab w:val="num" w:leader="none" w:pos="1440"/>
        </w:tabs>
        <w:spacing/>
        <w:ind w:hanging="360" w:left="1440"/>
      </w:pPr>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5">
    <w:nsid w:val="FFFFFF82"/>
    <w:lvl w:ilvl="0">
      <w:isLgl w:val="false"/>
      <w:lvlJc w:val="left"/>
      <w:lvlText w:val=""/>
      <w:numFmt w:val="bullet"/>
      <w:pPr>
        <w:pBdr/>
        <w:tabs>
          <w:tab w:val="num" w:leader="none" w:pos="1080"/>
        </w:tabs>
        <w:spacing/>
        <w:ind w:hanging="360" w:left="1080"/>
      </w:pPr>
      <w:pStyle w:val="1005"/>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6">
    <w:nsid w:val="FFFFFF83"/>
    <w:lvl w:ilvl="0">
      <w:isLgl w:val="false"/>
      <w:lvlJc w:val="left"/>
      <w:lvlText w:val=""/>
      <w:numFmt w:val="bullet"/>
      <w:pPr>
        <w:pBdr/>
        <w:tabs>
          <w:tab w:val="num" w:leader="none" w:pos="720"/>
        </w:tabs>
        <w:spacing/>
        <w:ind w:hanging="360" w:left="720"/>
      </w:pPr>
      <w:pStyle w:val="1004"/>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7">
    <w:nsid w:val="FFFFFF88"/>
    <w:lvl w:ilvl="0">
      <w:isLgl w:val="false"/>
      <w:lvlJc w:val="left"/>
      <w:lvlText w:val="%1."/>
      <w:numFmt w:val="decimal"/>
      <w:pPr>
        <w:pBdr/>
        <w:tabs>
          <w:tab w:val="num" w:leader="none" w:pos="360"/>
        </w:tabs>
        <w:spacing/>
        <w:ind w:hanging="360" w:left="360"/>
      </w:pPr>
      <w:pStyle w:val="1006"/>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8">
    <w:nsid w:val="FFFFFF89"/>
    <w:lvl w:ilvl="0">
      <w:isLgl w:val="false"/>
      <w:lvlJc w:val="left"/>
      <w:lvlText w:val=""/>
      <w:numFmt w:val="bullet"/>
      <w:pPr>
        <w:pBdr/>
        <w:tabs>
          <w:tab w:val="num" w:leader="none" w:pos="360"/>
        </w:tabs>
        <w:spacing/>
        <w:ind w:hanging="360" w:left="360"/>
      </w:pPr>
      <w:pStyle w:val="1003"/>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7"/>
    <w:lvlOverride w:ilvl="0">
      <w:startOverride w:val="1"/>
    </w:lvlOverride>
  </w:num>
  <w:num w:numId="11">
    <w:abstractNumId w:val="7"/>
    <w:lvlOverride w:ilvl="0">
      <w:startOverride w:val="1"/>
    </w:lvlOverride>
  </w:num>
  <w:num w:numId="12">
    <w:abstractNumId w:val="7"/>
    <w:lvlOverride w:ilvl="0">
      <w:startOverride w:val="1"/>
    </w:lvlOverride>
  </w:num>
  <w:num w:numId="13">
    <w:abstractNumId w:val="7"/>
    <w:lvlOverride w:ilvl="0">
      <w:startOverride w:val="1"/>
    </w:lvlOverride>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useFELayout w:val="tru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EastAsia"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24">
    <w:name w:val="Table Grid Light"/>
    <w:basedOn w:val="98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name w:val="Plain Table 1"/>
    <w:basedOn w:val="98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name w:val="Plain Table 2"/>
    <w:basedOn w:val="983"/>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name w:val="Plain Table 3"/>
    <w:basedOn w:val="98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name w:val="Plain Table 4"/>
    <w:basedOn w:val="98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name w:val="Plain Table 5"/>
    <w:basedOn w:val="98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name w:val="Grid Table 1 Light"/>
    <w:basedOn w:val="983"/>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1">
    <w:name w:val="Grid Table 1 Light - Accent 1"/>
    <w:basedOn w:val="98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name w:val="Grid Table 1 Light - Accent 2"/>
    <w:basedOn w:val="98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name w:val="Grid Table 1 Light - Accent 3"/>
    <w:basedOn w:val="98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name w:val="Grid Table 1 Light - Accent 4"/>
    <w:basedOn w:val="98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name w:val="Grid Table 1 Light - Accent 5"/>
    <w:basedOn w:val="98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name w:val="Grid Table 1 Light - Accent 6"/>
    <w:basedOn w:val="98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name w:val="Grid Table 2"/>
    <w:basedOn w:val="98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Grid Table 2 - Accent 1"/>
    <w:basedOn w:val="98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Grid Table 2 - Accent 2"/>
    <w:basedOn w:val="98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Grid Table 2 - Accent 3"/>
    <w:basedOn w:val="98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Grid Table 2 - Accent 4"/>
    <w:basedOn w:val="98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Grid Table 2 - Accent 5"/>
    <w:basedOn w:val="98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2 - Accent 6"/>
    <w:basedOn w:val="98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3"/>
    <w:basedOn w:val="98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3 - Accent 1"/>
    <w:basedOn w:val="98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3 - Accent 2"/>
    <w:basedOn w:val="98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3 - Accent 3"/>
    <w:basedOn w:val="98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3 - Accent 4"/>
    <w:basedOn w:val="98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3 - Accent 5"/>
    <w:basedOn w:val="98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3 - Accent 6"/>
    <w:basedOn w:val="98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4"/>
    <w:basedOn w:val="983"/>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4 - Accent 1"/>
    <w:basedOn w:val="983"/>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4 - Accent 2"/>
    <w:basedOn w:val="983"/>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4 - Accent 3"/>
    <w:basedOn w:val="983"/>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4 - Accent 4"/>
    <w:basedOn w:val="983"/>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4 - Accent 5"/>
    <w:basedOn w:val="983"/>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4 - Accent 6"/>
    <w:basedOn w:val="983"/>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5 Dark"/>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5 Dark- Accent 1"/>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5 Dark - Accent 2"/>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5 Dark - Accent 3"/>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5 Dark- Accent 4"/>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5 Dark - Accent 5"/>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5 Dark - Accent 6"/>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6 Colorful"/>
    <w:basedOn w:val="983"/>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66">
    <w:name w:val="Grid Table 6 Colorful - Accent 1"/>
    <w:basedOn w:val="983"/>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67">
    <w:name w:val="Grid Table 6 Colorful - Accent 2"/>
    <w:basedOn w:val="98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68">
    <w:name w:val="Grid Table 6 Colorful - Accent 3"/>
    <w:basedOn w:val="983"/>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69">
    <w:name w:val="Grid Table 6 Colorful - Accent 4"/>
    <w:basedOn w:val="98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70">
    <w:name w:val="Grid Table 6 Colorful - Accent 5"/>
    <w:basedOn w:val="983"/>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71">
    <w:name w:val="Grid Table 6 Colorful - Accent 6"/>
    <w:basedOn w:val="983"/>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72">
    <w:name w:val="Grid Table 7 Colorful"/>
    <w:basedOn w:val="983"/>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7 Colorful - Accent 1"/>
    <w:basedOn w:val="983"/>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7 Colorful - Accent 2"/>
    <w:basedOn w:val="983"/>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7 Colorful - Accent 3"/>
    <w:basedOn w:val="983"/>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7 Colorful - Accent 4"/>
    <w:basedOn w:val="983"/>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7 Colorful - Accent 5"/>
    <w:basedOn w:val="983"/>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7 Colorful - Accent 6"/>
    <w:basedOn w:val="983"/>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List Table 1 Light"/>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List Table 1 Light - Accent 1"/>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List Table 1 Light - Accent 2"/>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List Table 1 Light - Accent 3"/>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List Table 1 Light - Accent 4"/>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List Table 1 Light - Accent 5"/>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List Table 1 Light - Accent 6"/>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List Table 2"/>
    <w:basedOn w:val="983"/>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List Table 2 - Accent 1"/>
    <w:basedOn w:val="983"/>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List Table 2 - Accent 2"/>
    <w:basedOn w:val="983"/>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List Table 2 - Accent 3"/>
    <w:basedOn w:val="983"/>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List Table 2 - Accent 4"/>
    <w:basedOn w:val="983"/>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List Table 2 - Accent 5"/>
    <w:basedOn w:val="983"/>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List Table 2 - Accent 6"/>
    <w:basedOn w:val="983"/>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List Table 3"/>
    <w:basedOn w:val="98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3 - Accent 1"/>
    <w:basedOn w:val="983"/>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3 - Accent 2"/>
    <w:basedOn w:val="98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3 - Accent 3"/>
    <w:basedOn w:val="983"/>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3 - Accent 4"/>
    <w:basedOn w:val="98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3 - Accent 5"/>
    <w:basedOn w:val="983"/>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3 - Accent 6"/>
    <w:basedOn w:val="983"/>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4"/>
    <w:basedOn w:val="98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4 - Accent 1"/>
    <w:basedOn w:val="983"/>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4 - Accent 2"/>
    <w:basedOn w:val="983"/>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4 - Accent 3"/>
    <w:basedOn w:val="983"/>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4 - Accent 4"/>
    <w:basedOn w:val="983"/>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4 - Accent 5"/>
    <w:basedOn w:val="983"/>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4 - Accent 6"/>
    <w:basedOn w:val="983"/>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5 Dark"/>
    <w:basedOn w:val="983"/>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08">
    <w:name w:val="List Table 5 Dark - Accent 1"/>
    <w:basedOn w:val="983"/>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09">
    <w:name w:val="List Table 5 Dark - Accent 2"/>
    <w:basedOn w:val="983"/>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0">
    <w:name w:val="List Table 5 Dark - Accent 3"/>
    <w:basedOn w:val="983"/>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1">
    <w:name w:val="List Table 5 Dark - Accent 4"/>
    <w:basedOn w:val="983"/>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2">
    <w:name w:val="List Table 5 Dark - Accent 5"/>
    <w:basedOn w:val="983"/>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3">
    <w:name w:val="List Table 5 Dark - Accent 6"/>
    <w:basedOn w:val="983"/>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4">
    <w:name w:val="List Table 6 Colorful"/>
    <w:basedOn w:val="983"/>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6 Colorful - Accent 1"/>
    <w:basedOn w:val="983"/>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6 Colorful - Accent 2"/>
    <w:basedOn w:val="983"/>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6 Colorful - Accent 3"/>
    <w:basedOn w:val="983"/>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6 Colorful - Accent 4"/>
    <w:basedOn w:val="983"/>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6 Colorful - Accent 5"/>
    <w:basedOn w:val="983"/>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6 Colorful - Accent 6"/>
    <w:basedOn w:val="983"/>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7 Colorful"/>
    <w:basedOn w:val="983"/>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22">
    <w:name w:val="List Table 7 Colorful - Accent 1"/>
    <w:basedOn w:val="983"/>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23">
    <w:name w:val="List Table 7 Colorful - Accent 2"/>
    <w:basedOn w:val="983"/>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24">
    <w:name w:val="List Table 7 Colorful - Accent 3"/>
    <w:basedOn w:val="983"/>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25">
    <w:name w:val="List Table 7 Colorful - Accent 4"/>
    <w:basedOn w:val="983"/>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26">
    <w:name w:val="List Table 7 Colorful - Accent 5"/>
    <w:basedOn w:val="983"/>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27">
    <w:name w:val="List Table 7 Colorful - Accent 6"/>
    <w:basedOn w:val="983"/>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28">
    <w:name w:val="Lined - Accent"/>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ned - Accent 1"/>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ned - Accent 2"/>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ned - Accent 3"/>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ned - Accent 4"/>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ned - Accent 5"/>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ned - Accent 6"/>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Bordered &amp; Lined - Accent"/>
    <w:basedOn w:val="983"/>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Bordered &amp; Lined - Accent 1"/>
    <w:basedOn w:val="983"/>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Bordered &amp; Lined - Accent 2"/>
    <w:basedOn w:val="983"/>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Bordered &amp; Lined - Accent 3"/>
    <w:basedOn w:val="983"/>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Bordered &amp; Lined - Accent 4"/>
    <w:basedOn w:val="983"/>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Bordered &amp; Lined - Accent 5"/>
    <w:basedOn w:val="983"/>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Bordered &amp; Lined - Accent 6"/>
    <w:basedOn w:val="983"/>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Bordered"/>
    <w:basedOn w:val="983"/>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Bordered - Accent 1"/>
    <w:basedOn w:val="98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Bordered - Accent 2"/>
    <w:basedOn w:val="98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Bordered - Accent 3"/>
    <w:basedOn w:val="98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Bordered - Accent 4"/>
    <w:basedOn w:val="98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Bordered - Accent 5"/>
    <w:basedOn w:val="98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Bordered - Accent 6"/>
    <w:basedOn w:val="98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49">
    <w:name w:val="footnote text"/>
    <w:link w:val="950"/>
    <w:uiPriority w:val="99"/>
    <w:semiHidden/>
    <w:unhideWhenUsed/>
    <w:pPr>
      <w:pBdr/>
      <w:spacing w:after="0" w:line="240" w:lineRule="auto"/>
      <w:ind/>
    </w:pPr>
    <w:rPr>
      <w:sz w:val="20"/>
      <w:szCs w:val="20"/>
    </w:rPr>
  </w:style>
  <w:style w:type="character" w:styleId="950">
    <w:name w:val="Footnote Text Char"/>
    <w:basedOn w:val="982"/>
    <w:link w:val="949"/>
    <w:uiPriority w:val="99"/>
    <w:semiHidden/>
    <w:pPr>
      <w:pBdr/>
      <w:spacing/>
      <w:ind/>
    </w:pPr>
    <w:rPr>
      <w:sz w:val="20"/>
      <w:szCs w:val="20"/>
    </w:rPr>
  </w:style>
  <w:style w:type="character" w:styleId="951">
    <w:name w:val="footnote reference"/>
    <w:basedOn w:val="982"/>
    <w:uiPriority w:val="99"/>
    <w:semiHidden/>
    <w:unhideWhenUsed/>
    <w:pPr>
      <w:pBdr/>
      <w:spacing/>
      <w:ind/>
    </w:pPr>
    <w:rPr>
      <w:vertAlign w:val="superscript"/>
    </w:rPr>
  </w:style>
  <w:style w:type="paragraph" w:styleId="952">
    <w:name w:val="endnote text"/>
    <w:link w:val="953"/>
    <w:uiPriority w:val="99"/>
    <w:semiHidden/>
    <w:unhideWhenUsed/>
    <w:pPr>
      <w:pBdr/>
      <w:spacing w:after="0" w:line="240" w:lineRule="auto"/>
      <w:ind/>
    </w:pPr>
    <w:rPr>
      <w:sz w:val="20"/>
      <w:szCs w:val="20"/>
    </w:rPr>
  </w:style>
  <w:style w:type="character" w:styleId="953">
    <w:name w:val="Endnote Text Char"/>
    <w:basedOn w:val="982"/>
    <w:link w:val="952"/>
    <w:uiPriority w:val="99"/>
    <w:semiHidden/>
    <w:pPr>
      <w:pBdr/>
      <w:spacing/>
      <w:ind/>
    </w:pPr>
    <w:rPr>
      <w:sz w:val="20"/>
      <w:szCs w:val="20"/>
    </w:rPr>
  </w:style>
  <w:style w:type="character" w:styleId="954">
    <w:name w:val="endnote reference"/>
    <w:basedOn w:val="982"/>
    <w:uiPriority w:val="99"/>
    <w:semiHidden/>
    <w:unhideWhenUsed/>
    <w:pPr>
      <w:pBdr/>
      <w:spacing/>
      <w:ind/>
    </w:pPr>
    <w:rPr>
      <w:vertAlign w:val="superscript"/>
    </w:rPr>
  </w:style>
  <w:style w:type="character" w:styleId="955">
    <w:name w:val="Hyperlink"/>
    <w:basedOn w:val="982"/>
    <w:uiPriority w:val="99"/>
    <w:unhideWhenUsed/>
    <w:pPr>
      <w:pBdr/>
      <w:spacing/>
      <w:ind/>
    </w:pPr>
    <w:rPr>
      <w:color w:val="0563c1" w:themeColor="hyperlink"/>
      <w:u w:val="single"/>
    </w:rPr>
  </w:style>
  <w:style w:type="character" w:styleId="956">
    <w:name w:val="FollowedHyperlink"/>
    <w:basedOn w:val="982"/>
    <w:uiPriority w:val="99"/>
    <w:semiHidden/>
    <w:unhideWhenUsed/>
    <w:pPr>
      <w:pBdr/>
      <w:spacing/>
      <w:ind/>
    </w:pPr>
    <w:rPr>
      <w:color w:val="954f72" w:themeColor="followedHyperlink"/>
      <w:u w:val="single"/>
    </w:rPr>
  </w:style>
  <w:style w:type="paragraph" w:styleId="957">
    <w:name w:val="toc 1"/>
    <w:uiPriority w:val="39"/>
    <w:unhideWhenUsed/>
    <w:pPr>
      <w:pBdr/>
      <w:spacing w:after="100"/>
      <w:ind/>
    </w:pPr>
  </w:style>
  <w:style w:type="paragraph" w:styleId="958">
    <w:name w:val="toc 2"/>
    <w:uiPriority w:val="39"/>
    <w:unhideWhenUsed/>
    <w:pPr>
      <w:pBdr/>
      <w:spacing w:after="100"/>
      <w:ind w:left="220"/>
    </w:pPr>
  </w:style>
  <w:style w:type="paragraph" w:styleId="959">
    <w:name w:val="toc 3"/>
    <w:uiPriority w:val="39"/>
    <w:unhideWhenUsed/>
    <w:pPr>
      <w:pBdr/>
      <w:spacing w:after="100"/>
      <w:ind w:left="440"/>
    </w:pPr>
  </w:style>
  <w:style w:type="paragraph" w:styleId="960">
    <w:name w:val="toc 4"/>
    <w:uiPriority w:val="39"/>
    <w:unhideWhenUsed/>
    <w:pPr>
      <w:pBdr/>
      <w:spacing w:after="100"/>
      <w:ind w:left="660"/>
    </w:pPr>
  </w:style>
  <w:style w:type="paragraph" w:styleId="961">
    <w:name w:val="toc 5"/>
    <w:uiPriority w:val="39"/>
    <w:unhideWhenUsed/>
    <w:pPr>
      <w:pBdr/>
      <w:spacing w:after="100"/>
      <w:ind w:left="880"/>
    </w:pPr>
  </w:style>
  <w:style w:type="paragraph" w:styleId="962">
    <w:name w:val="toc 6"/>
    <w:uiPriority w:val="39"/>
    <w:unhideWhenUsed/>
    <w:pPr>
      <w:pBdr/>
      <w:spacing w:after="100"/>
      <w:ind w:left="1100"/>
    </w:pPr>
  </w:style>
  <w:style w:type="paragraph" w:styleId="963">
    <w:name w:val="toc 7"/>
    <w:uiPriority w:val="39"/>
    <w:unhideWhenUsed/>
    <w:pPr>
      <w:pBdr/>
      <w:spacing w:after="100"/>
      <w:ind w:left="1320"/>
    </w:pPr>
  </w:style>
  <w:style w:type="paragraph" w:styleId="964">
    <w:name w:val="toc 8"/>
    <w:uiPriority w:val="39"/>
    <w:unhideWhenUsed/>
    <w:pPr>
      <w:pBdr/>
      <w:spacing w:after="100"/>
      <w:ind w:left="1540"/>
    </w:pPr>
  </w:style>
  <w:style w:type="paragraph" w:styleId="965">
    <w:name w:val="toc 9"/>
    <w:uiPriority w:val="39"/>
    <w:unhideWhenUsed/>
    <w:pPr>
      <w:pBdr/>
      <w:spacing w:after="100"/>
      <w:ind w:left="1760"/>
    </w:pPr>
  </w:style>
  <w:style w:type="character" w:styleId="966">
    <w:name w:val="Placeholder Text"/>
    <w:basedOn w:val="982"/>
    <w:uiPriority w:val="99"/>
    <w:semiHidden/>
    <w:pPr>
      <w:pBdr/>
      <w:spacing/>
      <w:ind/>
    </w:pPr>
    <w:rPr>
      <w:color w:val="666666"/>
    </w:rPr>
  </w:style>
  <w:style w:type="paragraph" w:styleId="967">
    <w:name w:val="table of figures"/>
    <w:uiPriority w:val="99"/>
    <w:unhideWhenUsed/>
    <w:pPr>
      <w:pBdr/>
      <w:spacing w:after="0" w:afterAutospacing="0"/>
      <w:ind/>
    </w:pPr>
  </w:style>
  <w:style w:type="paragraph" w:styleId="968" w:default="1">
    <w:name w:val="Normal"/>
    <w:qFormat/>
    <w:pPr>
      <w:pBdr/>
      <w:spacing/>
      <w:ind/>
    </w:pPr>
  </w:style>
  <w:style w:type="paragraph" w:styleId="969">
    <w:name w:val="Header"/>
    <w:link w:val="970"/>
    <w:uiPriority w:val="99"/>
    <w:unhideWhenUsed/>
    <w:pPr>
      <w:pBdr/>
      <w:tabs>
        <w:tab w:val="center" w:leader="none" w:pos="4680"/>
        <w:tab w:val="right" w:leader="none" w:pos="9360"/>
      </w:tabs>
      <w:spacing w:after="0" w:line="240" w:lineRule="auto"/>
      <w:ind/>
    </w:pPr>
  </w:style>
  <w:style w:type="character" w:styleId="970" w:customStyle="1">
    <w:name w:val="Header Char"/>
    <w:basedOn w:val="982"/>
    <w:link w:val="969"/>
    <w:uiPriority w:val="99"/>
    <w:pPr>
      <w:pBdr/>
      <w:spacing/>
      <w:ind/>
    </w:pPr>
  </w:style>
  <w:style w:type="paragraph" w:styleId="971">
    <w:name w:val="Footer"/>
    <w:link w:val="972"/>
    <w:uiPriority w:val="99"/>
    <w:unhideWhenUsed/>
    <w:pPr>
      <w:pBdr/>
      <w:tabs>
        <w:tab w:val="center" w:leader="none" w:pos="4680"/>
        <w:tab w:val="right" w:leader="none" w:pos="9360"/>
      </w:tabs>
      <w:spacing w:after="0" w:line="240" w:lineRule="auto"/>
      <w:ind/>
    </w:pPr>
  </w:style>
  <w:style w:type="character" w:styleId="972" w:customStyle="1">
    <w:name w:val="Footer Char"/>
    <w:basedOn w:val="982"/>
    <w:link w:val="971"/>
    <w:uiPriority w:val="99"/>
    <w:pPr>
      <w:pBdr/>
      <w:spacing/>
      <w:ind/>
    </w:pPr>
  </w:style>
  <w:style w:type="paragraph" w:styleId="973">
    <w:name w:val="Heading 1"/>
    <w:link w:val="986"/>
    <w:uiPriority w:val="9"/>
    <w:qFormat/>
    <w:pPr>
      <w:keepNext w:val="true"/>
      <w:keepLines w:val="true"/>
      <w:pBdr/>
      <w:spacing w:after="0" w:before="480"/>
      <w:ind/>
      <w:outlineLvl w:val="0"/>
    </w:pPr>
    <w:rPr>
      <w:rFonts w:asciiTheme="majorHAnsi" w:hAnsiTheme="majorHAnsi" w:eastAsiaTheme="majorEastAsia" w:cstheme="majorBidi"/>
      <w:b/>
      <w:bCs/>
      <w:color w:val="365f91" w:themeColor="accent1" w:themeShade="BF"/>
      <w:sz w:val="28"/>
      <w:szCs w:val="28"/>
    </w:rPr>
  </w:style>
  <w:style w:type="paragraph" w:styleId="974">
    <w:name w:val="Heading 2"/>
    <w:link w:val="987"/>
    <w:uiPriority w:val="9"/>
    <w:unhideWhenUsed/>
    <w:qFormat/>
    <w:pPr>
      <w:keepNext w:val="true"/>
      <w:keepLines w:val="true"/>
      <w:pBdr/>
      <w:spacing w:after="0" w:before="200"/>
      <w:ind/>
      <w:outlineLvl w:val="1"/>
    </w:pPr>
    <w:rPr>
      <w:rFonts w:asciiTheme="majorHAnsi" w:hAnsiTheme="majorHAnsi" w:eastAsiaTheme="majorEastAsia" w:cstheme="majorBidi"/>
      <w:b/>
      <w:bCs/>
      <w:color w:val="4f81bd" w:themeColor="accent1"/>
      <w:sz w:val="26"/>
      <w:szCs w:val="26"/>
    </w:rPr>
  </w:style>
  <w:style w:type="paragraph" w:styleId="975">
    <w:name w:val="Heading 3"/>
    <w:link w:val="988"/>
    <w:uiPriority w:val="9"/>
    <w:unhideWhenUsed/>
    <w:qFormat/>
    <w:pPr>
      <w:keepNext w:val="true"/>
      <w:keepLines w:val="true"/>
      <w:pBdr/>
      <w:spacing w:after="0" w:before="200"/>
      <w:ind/>
      <w:outlineLvl w:val="2"/>
    </w:pPr>
    <w:rPr>
      <w:rFonts w:asciiTheme="majorHAnsi" w:hAnsiTheme="majorHAnsi" w:eastAsiaTheme="majorEastAsia" w:cstheme="majorBidi"/>
      <w:b/>
      <w:bCs/>
      <w:color w:val="4f81bd" w:themeColor="accent1"/>
    </w:rPr>
  </w:style>
  <w:style w:type="paragraph" w:styleId="976">
    <w:name w:val="Heading 4"/>
    <w:link w:val="1016"/>
    <w:uiPriority w:val="9"/>
    <w:semiHidden/>
    <w:unhideWhenUsed/>
    <w:qFormat/>
    <w:pPr>
      <w:keepNext w:val="true"/>
      <w:keepLines w:val="true"/>
      <w:pBdr/>
      <w:spacing w:after="0" w:before="200"/>
      <w:ind/>
      <w:outlineLvl w:val="3"/>
    </w:pPr>
    <w:rPr>
      <w:rFonts w:asciiTheme="majorHAnsi" w:hAnsiTheme="majorHAnsi" w:eastAsiaTheme="majorEastAsia" w:cstheme="majorBidi"/>
      <w:b/>
      <w:bCs/>
      <w:i/>
      <w:iCs/>
      <w:color w:val="4f81bd" w:themeColor="accent1"/>
    </w:rPr>
  </w:style>
  <w:style w:type="paragraph" w:styleId="977">
    <w:name w:val="Heading 5"/>
    <w:link w:val="1017"/>
    <w:uiPriority w:val="9"/>
    <w:semiHidden/>
    <w:unhideWhenUsed/>
    <w:qFormat/>
    <w:pPr>
      <w:keepNext w:val="true"/>
      <w:keepLines w:val="true"/>
      <w:pBdr/>
      <w:spacing w:after="0" w:before="200"/>
      <w:ind/>
      <w:outlineLvl w:val="4"/>
    </w:pPr>
    <w:rPr>
      <w:rFonts w:asciiTheme="majorHAnsi" w:hAnsiTheme="majorHAnsi" w:eastAsiaTheme="majorEastAsia" w:cstheme="majorBidi"/>
      <w:color w:val="243f60" w:themeColor="accent1" w:themeShade="7F"/>
    </w:rPr>
  </w:style>
  <w:style w:type="paragraph" w:styleId="978">
    <w:name w:val="Heading 6"/>
    <w:link w:val="1018"/>
    <w:uiPriority w:val="9"/>
    <w:semiHidden/>
    <w:unhideWhenUsed/>
    <w:qFormat/>
    <w:pPr>
      <w:keepNext w:val="true"/>
      <w:keepLines w:val="true"/>
      <w:pBdr/>
      <w:spacing w:after="0" w:before="200"/>
      <w:ind/>
      <w:outlineLvl w:val="5"/>
    </w:pPr>
    <w:rPr>
      <w:rFonts w:asciiTheme="majorHAnsi" w:hAnsiTheme="majorHAnsi" w:eastAsiaTheme="majorEastAsia" w:cstheme="majorBidi"/>
      <w:i/>
      <w:iCs/>
      <w:color w:val="243f60" w:themeColor="accent1" w:themeShade="7F"/>
    </w:rPr>
  </w:style>
  <w:style w:type="paragraph" w:styleId="979">
    <w:name w:val="Heading 7"/>
    <w:link w:val="1019"/>
    <w:uiPriority w:val="9"/>
    <w:semiHidden/>
    <w:unhideWhenUsed/>
    <w:qFormat/>
    <w:pPr>
      <w:keepNext w:val="true"/>
      <w:keepLines w:val="true"/>
      <w:pBdr/>
      <w:spacing w:after="0" w:before="200"/>
      <w:ind/>
      <w:outlineLvl w:val="6"/>
    </w:pPr>
    <w:rPr>
      <w:rFonts w:asciiTheme="majorHAnsi" w:hAnsiTheme="majorHAnsi" w:eastAsiaTheme="majorEastAsia" w:cstheme="majorBidi"/>
      <w:i/>
      <w:iCs/>
      <w:color w:val="404040" w:themeColor="text1" w:themeTint="BF"/>
    </w:rPr>
  </w:style>
  <w:style w:type="paragraph" w:styleId="980">
    <w:name w:val="Heading 8"/>
    <w:link w:val="1020"/>
    <w:uiPriority w:val="9"/>
    <w:semiHidden/>
    <w:unhideWhenUsed/>
    <w:qFormat/>
    <w:pPr>
      <w:keepNext w:val="true"/>
      <w:keepLines w:val="true"/>
      <w:pBdr/>
      <w:spacing w:after="0" w:before="200"/>
      <w:ind/>
      <w:outlineLvl w:val="7"/>
    </w:pPr>
    <w:rPr>
      <w:rFonts w:asciiTheme="majorHAnsi" w:hAnsiTheme="majorHAnsi" w:eastAsiaTheme="majorEastAsia" w:cstheme="majorBidi"/>
      <w:color w:val="4f81bd" w:themeColor="accent1"/>
      <w:sz w:val="20"/>
      <w:szCs w:val="20"/>
    </w:rPr>
  </w:style>
  <w:style w:type="paragraph" w:styleId="981">
    <w:name w:val="Heading 9"/>
    <w:link w:val="1021"/>
    <w:uiPriority w:val="9"/>
    <w:semiHidden/>
    <w:unhideWhenUsed/>
    <w:qFormat/>
    <w:pPr>
      <w:keepNext w:val="true"/>
      <w:keepLines w:val="true"/>
      <w:pBdr/>
      <w:spacing w:after="0" w:before="200"/>
      <w:ind/>
      <w:outlineLvl w:val="8"/>
    </w:pPr>
    <w:rPr>
      <w:rFonts w:asciiTheme="majorHAnsi" w:hAnsiTheme="majorHAnsi" w:eastAsiaTheme="majorEastAsia" w:cstheme="majorBidi"/>
      <w:i/>
      <w:iCs/>
      <w:color w:val="404040" w:themeColor="text1" w:themeTint="BF"/>
      <w:sz w:val="20"/>
      <w:szCs w:val="20"/>
    </w:rPr>
  </w:style>
  <w:style w:type="character" w:styleId="982" w:default="1">
    <w:name w:val="Default Paragraph Font"/>
    <w:uiPriority w:val="1"/>
    <w:semiHidden/>
    <w:unhideWhenUsed/>
    <w:pPr>
      <w:pBdr/>
      <w:spacing/>
      <w:ind/>
    </w:pPr>
  </w:style>
  <w:style w:type="table" w:styleId="983"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984" w:default="1">
    <w:name w:val="No List"/>
    <w:uiPriority w:val="99"/>
    <w:semiHidden/>
    <w:unhideWhenUsed/>
    <w:pPr>
      <w:pBdr/>
      <w:spacing/>
      <w:ind/>
    </w:pPr>
  </w:style>
  <w:style w:type="paragraph" w:styleId="985">
    <w:name w:val="No Spacing"/>
    <w:uiPriority w:val="1"/>
    <w:qFormat/>
    <w:pPr>
      <w:pBdr/>
      <w:spacing w:after="0" w:line="240" w:lineRule="auto"/>
      <w:ind/>
    </w:pPr>
  </w:style>
  <w:style w:type="character" w:styleId="986" w:customStyle="1">
    <w:name w:val="Heading 1 Char"/>
    <w:basedOn w:val="982"/>
    <w:uiPriority w:val="9"/>
    <w:pPr>
      <w:pBdr/>
      <w:spacing/>
      <w:ind/>
    </w:pPr>
    <w:rPr>
      <w:rFonts w:asciiTheme="majorHAnsi" w:hAnsiTheme="majorHAnsi" w:eastAsiaTheme="majorEastAsia" w:cstheme="majorBidi"/>
      <w:b/>
      <w:bCs/>
      <w:color w:val="365f91" w:themeColor="accent1" w:themeShade="BF"/>
      <w:sz w:val="28"/>
      <w:szCs w:val="28"/>
    </w:rPr>
  </w:style>
  <w:style w:type="character" w:styleId="987" w:customStyle="1">
    <w:name w:val="Heading 2 Char"/>
    <w:basedOn w:val="982"/>
    <w:uiPriority w:val="9"/>
    <w:pPr>
      <w:pBdr/>
      <w:spacing/>
      <w:ind/>
    </w:pPr>
    <w:rPr>
      <w:rFonts w:asciiTheme="majorHAnsi" w:hAnsiTheme="majorHAnsi" w:eastAsiaTheme="majorEastAsia" w:cstheme="majorBidi"/>
      <w:b/>
      <w:bCs/>
      <w:color w:val="4f81bd" w:themeColor="accent1"/>
      <w:sz w:val="26"/>
      <w:szCs w:val="26"/>
    </w:rPr>
  </w:style>
  <w:style w:type="character" w:styleId="988" w:customStyle="1">
    <w:name w:val="Heading 3 Char"/>
    <w:basedOn w:val="982"/>
    <w:uiPriority w:val="9"/>
    <w:pPr>
      <w:pBdr/>
      <w:spacing/>
      <w:ind/>
    </w:pPr>
    <w:rPr>
      <w:rFonts w:asciiTheme="majorHAnsi" w:hAnsiTheme="majorHAnsi" w:eastAsiaTheme="majorEastAsia" w:cstheme="majorBidi"/>
      <w:b/>
      <w:bCs/>
      <w:color w:val="4f81bd" w:themeColor="accent1"/>
    </w:rPr>
  </w:style>
  <w:style w:type="paragraph" w:styleId="989">
    <w:name w:val="Title"/>
    <w:link w:val="990"/>
    <w:uiPriority w:val="10"/>
    <w:qFormat/>
    <w:pPr>
      <w:pBdr>
        <w:bottom w:val="single" w:color="4f81bd" w:themeColor="accent1" w:sz="8" w:space="4"/>
      </w:pBdr>
      <w:spacing w:after="300" w:line="240" w:lineRule="auto"/>
      <w:ind/>
      <w:contextualSpacing w:val="true"/>
    </w:pPr>
    <w:rPr>
      <w:rFonts w:asciiTheme="majorHAnsi" w:hAnsiTheme="majorHAnsi" w:eastAsiaTheme="majorEastAsia" w:cstheme="majorBidi"/>
      <w:color w:val="17365d" w:themeColor="text2" w:themeShade="BF"/>
      <w:spacing w:val="5"/>
      <w:sz w:val="52"/>
      <w:szCs w:val="52"/>
    </w:rPr>
  </w:style>
  <w:style w:type="character" w:styleId="990" w:customStyle="1">
    <w:name w:val="Title Char"/>
    <w:basedOn w:val="982"/>
    <w:link w:val="989"/>
    <w:uiPriority w:val="10"/>
    <w:pPr>
      <w:pBdr/>
      <w:spacing/>
      <w:ind/>
    </w:pPr>
    <w:rPr>
      <w:rFonts w:asciiTheme="majorHAnsi" w:hAnsiTheme="majorHAnsi" w:eastAsiaTheme="majorEastAsia" w:cstheme="majorBidi"/>
      <w:color w:val="17365d" w:themeColor="text2" w:themeShade="BF"/>
      <w:spacing w:val="5"/>
      <w:sz w:val="52"/>
      <w:szCs w:val="52"/>
    </w:rPr>
  </w:style>
  <w:style w:type="paragraph" w:styleId="991">
    <w:name w:val="Subtitle"/>
    <w:link w:val="992"/>
    <w:uiPriority w:val="11"/>
    <w:qFormat/>
    <w:pPr>
      <w:numPr>
        <w:ilvl w:val="1"/>
      </w:numPr>
      <w:pBdr/>
      <w:spacing/>
      <w:ind/>
    </w:pPr>
    <w:rPr>
      <w:rFonts w:asciiTheme="majorHAnsi" w:hAnsiTheme="majorHAnsi" w:eastAsiaTheme="majorEastAsia" w:cstheme="majorBidi"/>
      <w:i/>
      <w:iCs/>
      <w:color w:val="4f81bd" w:themeColor="accent1"/>
      <w:spacing w:val="15"/>
      <w:sz w:val="24"/>
      <w:szCs w:val="24"/>
    </w:rPr>
  </w:style>
  <w:style w:type="character" w:styleId="992" w:customStyle="1">
    <w:name w:val="Subtitle Char"/>
    <w:basedOn w:val="982"/>
    <w:link w:val="991"/>
    <w:uiPriority w:val="11"/>
    <w:pPr>
      <w:pBdr/>
      <w:spacing/>
      <w:ind/>
    </w:pPr>
    <w:rPr>
      <w:rFonts w:asciiTheme="majorHAnsi" w:hAnsiTheme="majorHAnsi" w:eastAsiaTheme="majorEastAsia" w:cstheme="majorBidi"/>
      <w:i/>
      <w:iCs/>
      <w:color w:val="4f81bd" w:themeColor="accent1"/>
      <w:spacing w:val="15"/>
      <w:sz w:val="24"/>
      <w:szCs w:val="24"/>
    </w:rPr>
  </w:style>
  <w:style w:type="paragraph" w:styleId="993">
    <w:name w:val="List Paragraph"/>
    <w:uiPriority w:val="34"/>
    <w:qFormat/>
    <w:pPr>
      <w:pBdr/>
      <w:spacing/>
      <w:ind w:left="720"/>
      <w:contextualSpacing w:val="true"/>
    </w:pPr>
  </w:style>
  <w:style w:type="paragraph" w:styleId="994">
    <w:name w:val="Body Text"/>
    <w:link w:val="995"/>
    <w:uiPriority w:val="99"/>
    <w:unhideWhenUsed/>
    <w:pPr>
      <w:pBdr/>
      <w:spacing w:after="120"/>
      <w:ind/>
    </w:pPr>
  </w:style>
  <w:style w:type="character" w:styleId="995" w:customStyle="1">
    <w:name w:val="Body Text Char"/>
    <w:basedOn w:val="982"/>
    <w:link w:val="994"/>
    <w:uiPriority w:val="99"/>
    <w:pPr>
      <w:pBdr/>
      <w:spacing/>
      <w:ind/>
    </w:pPr>
  </w:style>
  <w:style w:type="paragraph" w:styleId="996">
    <w:name w:val="Body Text 2"/>
    <w:link w:val="997"/>
    <w:uiPriority w:val="99"/>
    <w:unhideWhenUsed/>
    <w:pPr>
      <w:pBdr/>
      <w:spacing w:after="120" w:line="480" w:lineRule="auto"/>
      <w:ind/>
    </w:pPr>
  </w:style>
  <w:style w:type="character" w:styleId="997" w:customStyle="1">
    <w:name w:val="Body Text 2 Char"/>
    <w:basedOn w:val="982"/>
    <w:link w:val="996"/>
    <w:uiPriority w:val="99"/>
    <w:pPr>
      <w:pBdr/>
      <w:spacing/>
      <w:ind/>
    </w:pPr>
  </w:style>
  <w:style w:type="paragraph" w:styleId="998">
    <w:name w:val="Body Text 3"/>
    <w:link w:val="999"/>
    <w:uiPriority w:val="99"/>
    <w:unhideWhenUsed/>
    <w:pPr>
      <w:pBdr/>
      <w:spacing w:after="120"/>
      <w:ind/>
    </w:pPr>
    <w:rPr>
      <w:sz w:val="16"/>
      <w:szCs w:val="16"/>
    </w:rPr>
  </w:style>
  <w:style w:type="character" w:styleId="999" w:customStyle="1">
    <w:name w:val="Body Text 3 Char"/>
    <w:basedOn w:val="982"/>
    <w:link w:val="998"/>
    <w:uiPriority w:val="99"/>
    <w:pPr>
      <w:pBdr/>
      <w:spacing/>
      <w:ind/>
    </w:pPr>
    <w:rPr>
      <w:sz w:val="16"/>
      <w:szCs w:val="16"/>
    </w:rPr>
  </w:style>
  <w:style w:type="paragraph" w:styleId="1000">
    <w:name w:val="List"/>
    <w:uiPriority w:val="99"/>
    <w:unhideWhenUsed/>
    <w:pPr>
      <w:pBdr/>
      <w:spacing/>
      <w:ind w:hanging="360" w:left="360"/>
      <w:contextualSpacing w:val="true"/>
    </w:pPr>
  </w:style>
  <w:style w:type="paragraph" w:styleId="1001">
    <w:name w:val="List 2"/>
    <w:uiPriority w:val="99"/>
    <w:unhideWhenUsed/>
    <w:pPr>
      <w:pBdr/>
      <w:spacing/>
      <w:ind w:hanging="360" w:left="720"/>
      <w:contextualSpacing w:val="true"/>
    </w:pPr>
  </w:style>
  <w:style w:type="paragraph" w:styleId="1002">
    <w:name w:val="List 3"/>
    <w:uiPriority w:val="99"/>
    <w:unhideWhenUsed/>
    <w:pPr>
      <w:pBdr/>
      <w:spacing/>
      <w:ind w:hanging="360" w:left="1080"/>
      <w:contextualSpacing w:val="true"/>
    </w:pPr>
  </w:style>
  <w:style w:type="paragraph" w:styleId="1003">
    <w:name w:val="List Bullet"/>
    <w:uiPriority w:val="99"/>
    <w:unhideWhenUsed/>
    <w:pPr>
      <w:numPr>
        <w:numId w:val="1"/>
      </w:numPr>
      <w:pBdr/>
      <w:spacing/>
      <w:ind/>
      <w:contextualSpacing w:val="true"/>
    </w:pPr>
  </w:style>
  <w:style w:type="paragraph" w:styleId="1004">
    <w:name w:val="List Bullet 2"/>
    <w:uiPriority w:val="99"/>
    <w:unhideWhenUsed/>
    <w:pPr>
      <w:numPr>
        <w:numId w:val="2"/>
      </w:numPr>
      <w:pBdr/>
      <w:spacing/>
      <w:ind/>
      <w:contextualSpacing w:val="true"/>
    </w:pPr>
  </w:style>
  <w:style w:type="paragraph" w:styleId="1005">
    <w:name w:val="List Bullet 3"/>
    <w:uiPriority w:val="99"/>
    <w:unhideWhenUsed/>
    <w:pPr>
      <w:numPr>
        <w:numId w:val="3"/>
      </w:numPr>
      <w:pBdr/>
      <w:spacing/>
      <w:ind/>
      <w:contextualSpacing w:val="true"/>
    </w:pPr>
  </w:style>
  <w:style w:type="paragraph" w:styleId="1006">
    <w:name w:val="List Number"/>
    <w:uiPriority w:val="99"/>
    <w:unhideWhenUsed/>
    <w:pPr>
      <w:numPr>
        <w:numId w:val="5"/>
      </w:numPr>
      <w:pBdr/>
      <w:spacing/>
      <w:ind/>
      <w:contextualSpacing w:val="true"/>
    </w:pPr>
  </w:style>
  <w:style w:type="paragraph" w:styleId="1007">
    <w:name w:val="List Number 2"/>
    <w:uiPriority w:val="99"/>
    <w:unhideWhenUsed/>
    <w:pPr>
      <w:numPr>
        <w:numId w:val="6"/>
      </w:numPr>
      <w:pBdr/>
      <w:spacing/>
      <w:ind/>
      <w:contextualSpacing w:val="true"/>
    </w:pPr>
  </w:style>
  <w:style w:type="paragraph" w:styleId="1008">
    <w:name w:val="List Number 3"/>
    <w:uiPriority w:val="99"/>
    <w:unhideWhenUsed/>
    <w:pPr>
      <w:numPr>
        <w:numId w:val="7"/>
      </w:numPr>
      <w:pBdr/>
      <w:spacing/>
      <w:ind/>
      <w:contextualSpacing w:val="true"/>
    </w:pPr>
  </w:style>
  <w:style w:type="paragraph" w:styleId="1009">
    <w:name w:val="List Continue"/>
    <w:uiPriority w:val="99"/>
    <w:unhideWhenUsed/>
    <w:pPr>
      <w:pBdr/>
      <w:spacing w:after="120"/>
      <w:ind w:left="360"/>
      <w:contextualSpacing w:val="true"/>
    </w:pPr>
  </w:style>
  <w:style w:type="paragraph" w:styleId="1010">
    <w:name w:val="List Continue 2"/>
    <w:uiPriority w:val="99"/>
    <w:unhideWhenUsed/>
    <w:pPr>
      <w:pBdr/>
      <w:spacing w:after="120"/>
      <w:ind w:left="720"/>
      <w:contextualSpacing w:val="true"/>
    </w:pPr>
  </w:style>
  <w:style w:type="paragraph" w:styleId="1011">
    <w:name w:val="List Continue 3"/>
    <w:uiPriority w:val="99"/>
    <w:unhideWhenUsed/>
    <w:pPr>
      <w:pBdr/>
      <w:spacing w:after="120"/>
      <w:ind w:left="1080"/>
      <w:contextualSpacing w:val="true"/>
    </w:pPr>
  </w:style>
  <w:style w:type="paragraph" w:styleId="1012">
    <w:name w:val="macro"/>
    <w:link w:val="1013"/>
    <w:uiPriority w:val="99"/>
    <w:unhideWhenUsed/>
    <w:pPr>
      <w:pBdr/>
      <w:tabs>
        <w:tab w:val="left" w:leader="none" w:pos="576"/>
        <w:tab w:val="left" w:leader="none" w:pos="1152"/>
        <w:tab w:val="left" w:leader="none" w:pos="1728"/>
        <w:tab w:val="left" w:leader="none" w:pos="2304"/>
        <w:tab w:val="left" w:leader="none" w:pos="2880"/>
        <w:tab w:val="left" w:leader="none" w:pos="3456"/>
        <w:tab w:val="left" w:leader="none" w:pos="4032"/>
      </w:tabs>
      <w:spacing/>
      <w:ind/>
    </w:pPr>
    <w:rPr>
      <w:rFonts w:ascii="Courier" w:hAnsi="Courier"/>
      <w:sz w:val="20"/>
      <w:szCs w:val="20"/>
    </w:rPr>
  </w:style>
  <w:style w:type="character" w:styleId="1013" w:customStyle="1">
    <w:name w:val="Macro Text Char"/>
    <w:basedOn w:val="982"/>
    <w:link w:val="1012"/>
    <w:uiPriority w:val="99"/>
    <w:pPr>
      <w:pBdr/>
      <w:spacing/>
      <w:ind/>
    </w:pPr>
    <w:rPr>
      <w:rFonts w:ascii="Courier" w:hAnsi="Courier"/>
      <w:sz w:val="20"/>
      <w:szCs w:val="20"/>
    </w:rPr>
  </w:style>
  <w:style w:type="paragraph" w:styleId="1014">
    <w:name w:val="Quote"/>
    <w:link w:val="1015"/>
    <w:uiPriority w:val="29"/>
    <w:qFormat/>
    <w:pPr>
      <w:pBdr/>
      <w:spacing/>
      <w:ind/>
    </w:pPr>
    <w:rPr>
      <w:i/>
      <w:iCs/>
      <w:color w:val="000000" w:themeColor="text1"/>
    </w:rPr>
  </w:style>
  <w:style w:type="character" w:styleId="1015" w:customStyle="1">
    <w:name w:val="Quote Char"/>
    <w:basedOn w:val="982"/>
    <w:link w:val="1014"/>
    <w:uiPriority w:val="29"/>
    <w:pPr>
      <w:pBdr/>
      <w:spacing/>
      <w:ind/>
    </w:pPr>
    <w:rPr>
      <w:i/>
      <w:iCs/>
      <w:color w:val="000000" w:themeColor="text1"/>
    </w:rPr>
  </w:style>
  <w:style w:type="character" w:styleId="1016" w:customStyle="1">
    <w:name w:val="Heading 4 Char"/>
    <w:basedOn w:val="982"/>
    <w:link w:val="976"/>
    <w:uiPriority w:val="9"/>
    <w:semiHidden/>
    <w:pPr>
      <w:pBdr/>
      <w:spacing/>
      <w:ind/>
    </w:pPr>
    <w:rPr>
      <w:rFonts w:asciiTheme="majorHAnsi" w:hAnsiTheme="majorHAnsi" w:eastAsiaTheme="majorEastAsia" w:cstheme="majorBidi"/>
      <w:b/>
      <w:bCs/>
      <w:i/>
      <w:iCs/>
      <w:color w:val="4f81bd" w:themeColor="accent1"/>
    </w:rPr>
  </w:style>
  <w:style w:type="character" w:styleId="1017" w:customStyle="1">
    <w:name w:val="Heading 5 Char"/>
    <w:basedOn w:val="982"/>
    <w:link w:val="977"/>
    <w:uiPriority w:val="9"/>
    <w:semiHidden/>
    <w:pPr>
      <w:pBdr/>
      <w:spacing/>
      <w:ind/>
    </w:pPr>
    <w:rPr>
      <w:rFonts w:asciiTheme="majorHAnsi" w:hAnsiTheme="majorHAnsi" w:eastAsiaTheme="majorEastAsia" w:cstheme="majorBidi"/>
      <w:color w:val="243f60" w:themeColor="accent1" w:themeShade="7F"/>
    </w:rPr>
  </w:style>
  <w:style w:type="character" w:styleId="1018" w:customStyle="1">
    <w:name w:val="Heading 6 Char"/>
    <w:basedOn w:val="982"/>
    <w:link w:val="978"/>
    <w:uiPriority w:val="9"/>
    <w:semiHidden/>
    <w:pPr>
      <w:pBdr/>
      <w:spacing/>
      <w:ind/>
    </w:pPr>
    <w:rPr>
      <w:rFonts w:asciiTheme="majorHAnsi" w:hAnsiTheme="majorHAnsi" w:eastAsiaTheme="majorEastAsia" w:cstheme="majorBidi"/>
      <w:i/>
      <w:iCs/>
      <w:color w:val="243f60" w:themeColor="accent1" w:themeShade="7F"/>
    </w:rPr>
  </w:style>
  <w:style w:type="character" w:styleId="1019" w:customStyle="1">
    <w:name w:val="Heading 7 Char"/>
    <w:basedOn w:val="982"/>
    <w:link w:val="979"/>
    <w:uiPriority w:val="9"/>
    <w:semiHidden/>
    <w:pPr>
      <w:pBdr/>
      <w:spacing/>
      <w:ind/>
    </w:pPr>
    <w:rPr>
      <w:rFonts w:asciiTheme="majorHAnsi" w:hAnsiTheme="majorHAnsi" w:eastAsiaTheme="majorEastAsia" w:cstheme="majorBidi"/>
      <w:i/>
      <w:iCs/>
      <w:color w:val="404040" w:themeColor="text1" w:themeTint="BF"/>
    </w:rPr>
  </w:style>
  <w:style w:type="character" w:styleId="1020" w:customStyle="1">
    <w:name w:val="Heading 8 Char"/>
    <w:basedOn w:val="982"/>
    <w:link w:val="980"/>
    <w:uiPriority w:val="9"/>
    <w:semiHidden/>
    <w:pPr>
      <w:pBdr/>
      <w:spacing/>
      <w:ind/>
    </w:pPr>
    <w:rPr>
      <w:rFonts w:asciiTheme="majorHAnsi" w:hAnsiTheme="majorHAnsi" w:eastAsiaTheme="majorEastAsia" w:cstheme="majorBidi"/>
      <w:color w:val="4f81bd" w:themeColor="accent1"/>
      <w:sz w:val="20"/>
      <w:szCs w:val="20"/>
    </w:rPr>
  </w:style>
  <w:style w:type="character" w:styleId="1021" w:customStyle="1">
    <w:name w:val="Heading 9 Char"/>
    <w:basedOn w:val="982"/>
    <w:link w:val="981"/>
    <w:uiPriority w:val="9"/>
    <w:semiHidden/>
    <w:pPr>
      <w:pBdr/>
      <w:spacing/>
      <w:ind/>
    </w:pPr>
    <w:rPr>
      <w:rFonts w:asciiTheme="majorHAnsi" w:hAnsiTheme="majorHAnsi" w:eastAsiaTheme="majorEastAsia" w:cstheme="majorBidi"/>
      <w:i/>
      <w:iCs/>
      <w:color w:val="404040" w:themeColor="text1" w:themeTint="BF"/>
      <w:sz w:val="20"/>
      <w:szCs w:val="20"/>
    </w:rPr>
  </w:style>
  <w:style w:type="paragraph" w:styleId="1022">
    <w:name w:val="Caption"/>
    <w:uiPriority w:val="35"/>
    <w:semiHidden/>
    <w:unhideWhenUsed/>
    <w:qFormat/>
    <w:pPr>
      <w:pBdr/>
      <w:spacing w:line="240" w:lineRule="auto"/>
      <w:ind/>
    </w:pPr>
    <w:rPr>
      <w:b/>
      <w:bCs/>
      <w:color w:val="4f81bd" w:themeColor="accent1"/>
      <w:sz w:val="18"/>
      <w:szCs w:val="18"/>
    </w:rPr>
  </w:style>
  <w:style w:type="character" w:styleId="1023">
    <w:name w:val="Strong"/>
    <w:basedOn w:val="982"/>
    <w:uiPriority w:val="22"/>
    <w:qFormat/>
    <w:pPr>
      <w:pBdr/>
      <w:spacing/>
      <w:ind/>
    </w:pPr>
    <w:rPr>
      <w:b/>
      <w:bCs/>
    </w:rPr>
  </w:style>
  <w:style w:type="character" w:styleId="1024">
    <w:name w:val="Emphasis"/>
    <w:basedOn w:val="982"/>
    <w:uiPriority w:val="20"/>
    <w:qFormat/>
    <w:pPr>
      <w:pBdr/>
      <w:spacing/>
      <w:ind/>
    </w:pPr>
    <w:rPr>
      <w:i/>
      <w:iCs/>
    </w:rPr>
  </w:style>
  <w:style w:type="paragraph" w:styleId="1025">
    <w:name w:val="Intense Quote"/>
    <w:link w:val="1026"/>
    <w:uiPriority w:val="30"/>
    <w:qFormat/>
    <w:pPr>
      <w:pBdr>
        <w:bottom w:val="single" w:color="4f81bd" w:themeColor="accent1" w:sz="4" w:space="4"/>
      </w:pBdr>
      <w:spacing w:after="280" w:before="200"/>
      <w:ind w:right="936" w:left="936"/>
    </w:pPr>
    <w:rPr>
      <w:b/>
      <w:bCs/>
      <w:i/>
      <w:iCs/>
      <w:color w:val="4f81bd" w:themeColor="accent1"/>
    </w:rPr>
  </w:style>
  <w:style w:type="character" w:styleId="1026" w:customStyle="1">
    <w:name w:val="Intense Quote Char"/>
    <w:basedOn w:val="982"/>
    <w:link w:val="1025"/>
    <w:uiPriority w:val="30"/>
    <w:pPr>
      <w:pBdr/>
      <w:spacing/>
      <w:ind/>
    </w:pPr>
    <w:rPr>
      <w:b/>
      <w:bCs/>
      <w:i/>
      <w:iCs/>
      <w:color w:val="4f81bd" w:themeColor="accent1"/>
    </w:rPr>
  </w:style>
  <w:style w:type="character" w:styleId="1027">
    <w:name w:val="Subtle Emphasis"/>
    <w:basedOn w:val="982"/>
    <w:uiPriority w:val="19"/>
    <w:qFormat/>
    <w:pPr>
      <w:pBdr/>
      <w:spacing/>
      <w:ind/>
    </w:pPr>
    <w:rPr>
      <w:i/>
      <w:iCs/>
      <w:color w:val="808080" w:themeColor="text1" w:themeTint="7F"/>
    </w:rPr>
  </w:style>
  <w:style w:type="character" w:styleId="1028">
    <w:name w:val="Intense Emphasis"/>
    <w:basedOn w:val="982"/>
    <w:uiPriority w:val="21"/>
    <w:qFormat/>
    <w:pPr>
      <w:pBdr/>
      <w:spacing/>
      <w:ind/>
    </w:pPr>
    <w:rPr>
      <w:b/>
      <w:bCs/>
      <w:i/>
      <w:iCs/>
      <w:color w:val="4f81bd" w:themeColor="accent1"/>
    </w:rPr>
  </w:style>
  <w:style w:type="character" w:styleId="1029">
    <w:name w:val="Subtle Reference"/>
    <w:basedOn w:val="982"/>
    <w:uiPriority w:val="31"/>
    <w:qFormat/>
    <w:pPr>
      <w:pBdr/>
      <w:spacing/>
      <w:ind/>
    </w:pPr>
    <w:rPr>
      <w:smallCaps/>
      <w:color w:val="c0504d" w:themeColor="accent2"/>
      <w:u w:val="single"/>
    </w:rPr>
  </w:style>
  <w:style w:type="character" w:styleId="1030">
    <w:name w:val="Intense Reference"/>
    <w:basedOn w:val="982"/>
    <w:uiPriority w:val="32"/>
    <w:qFormat/>
    <w:pPr>
      <w:pBdr/>
      <w:spacing/>
      <w:ind/>
    </w:pPr>
    <w:rPr>
      <w:b/>
      <w:bCs/>
      <w:smallCaps/>
      <w:color w:val="c0504d" w:themeColor="accent2"/>
      <w:spacing w:val="5"/>
      <w:u w:val="single"/>
    </w:rPr>
  </w:style>
  <w:style w:type="character" w:styleId="1031">
    <w:name w:val="Book Title"/>
    <w:basedOn w:val="982"/>
    <w:uiPriority w:val="33"/>
    <w:qFormat/>
    <w:pPr>
      <w:pBdr/>
      <w:spacing/>
      <w:ind/>
    </w:pPr>
    <w:rPr>
      <w:b/>
      <w:bCs/>
      <w:smallCaps/>
      <w:spacing w:val="5"/>
    </w:rPr>
  </w:style>
  <w:style w:type="paragraph" w:styleId="1032">
    <w:name w:val="TOC Heading"/>
    <w:uiPriority w:val="39"/>
    <w:semiHidden/>
    <w:unhideWhenUsed/>
    <w:qFormat/>
    <w:pPr>
      <w:pBdr/>
      <w:spacing/>
      <w:ind/>
      <w:outlineLvl w:val="9"/>
    </w:pPr>
  </w:style>
  <w:style w:type="table" w:styleId="1033">
    <w:name w:val="Table Grid"/>
    <w:basedOn w:val="983"/>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4">
    <w:name w:val="Light Shading"/>
    <w:basedOn w:val="983"/>
    <w:uiPriority w:val="60"/>
    <w:pPr>
      <w:pBdr/>
      <w:spacing w:after="0" w:line="240" w:lineRule="auto"/>
      <w:ind/>
    </w:pPr>
    <w:rPr>
      <w:color w:val="000000" w:themeColor="text1" w:themeShade="BF"/>
    </w:rPr>
    <w:tblPr>
      <w:tblStyleRowBandSize w:val="1"/>
      <w:tblStyleColBandSize w:val="1"/>
      <w:tblInd w:w="0" w:type="dxa"/>
      <w:tblCellMar>
        <w:left w:w="108" w:type="dxa"/>
        <w:top w:w="0" w:type="dxa"/>
        <w:right w:w="108" w:type="dxa"/>
        <w:bottom w:w="0" w:type="dxa"/>
      </w:tblCellMar>
      <w:tblBorders>
        <w:top w:val="single" w:color="000000" w:themeColor="text1" w:sz="8" w:space="0"/>
        <w:bottom w:val="single" w:color="000000" w:themeColor="text1" w:sz="8" w:space="0"/>
      </w:tblBorders>
    </w:tblPr>
    <w:tcPr>
      <w:tcBorders/>
    </w:tcPr>
    <w:tblStylePr w:type="band1Horz">
      <w:pPr>
        <w:pBdr/>
        <w:spacing/>
        <w:ind/>
      </w:pPr>
      <w:tblPr>
        <w:tblBorders/>
      </w:tblPr>
      <w:tcPr>
        <w:shd w:val="clear" w:color="auto" w:fill="c0c0c0" w:themeFill="text1" w:themeFillTint="3F"/>
        <w:tcBorders>
          <w:left w:val="none" w:color="000000" w:sz="4" w:space="0"/>
          <w:right w:val="none" w:color="000000" w:sz="4" w:space="0"/>
        </w:tcBorders>
      </w:tcPr>
    </w:tblStylePr>
    <w:tblStylePr w:type="band1Vert">
      <w:pPr>
        <w:pBdr/>
        <w:spacing/>
        <w:ind/>
      </w:pPr>
      <w:tblPr>
        <w:tblBorders/>
      </w:tblPr>
      <w:tcPr>
        <w:shd w:val="clear" w:color="auto" w:fill="c0c0c0" w:themeFill="tex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000000" w:themeColor="text1" w:sz="8" w:space="0"/>
          <w:left w:val="none" w:color="000000" w:sz="4" w:space="0"/>
          <w:bottom w:val="single" w:color="000000" w:themeColor="text1"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000000" w:themeColor="text1" w:sz="8" w:space="0"/>
          <w:left w:val="none" w:color="000000" w:sz="4" w:space="0"/>
          <w:bottom w:val="single" w:color="000000" w:themeColor="text1"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5">
    <w:name w:val="Light Shading Accent 1"/>
    <w:basedOn w:val="983"/>
    <w:uiPriority w:val="60"/>
    <w:pPr>
      <w:pBdr/>
      <w:spacing w:after="0" w:line="240" w:lineRule="auto"/>
      <w:ind/>
    </w:pPr>
    <w:rPr>
      <w:color w:val="365f91" w:themeColor="accent1" w:themeShade="BF"/>
    </w:rPr>
    <w:tblPr>
      <w:tblStyleRowBandSize w:val="1"/>
      <w:tblStyleColBandSize w:val="1"/>
      <w:tblInd w:w="0" w:type="dxa"/>
      <w:tblCellMar>
        <w:left w:w="108" w:type="dxa"/>
        <w:top w:w="0" w:type="dxa"/>
        <w:right w:w="108" w:type="dxa"/>
        <w:bottom w:w="0" w:type="dxa"/>
      </w:tblCellMar>
      <w:tblBorders>
        <w:top w:val="single" w:color="4f81bd" w:themeColor="accent1" w:sz="8" w:space="0"/>
        <w:bottom w:val="single" w:color="4f81bd" w:themeColor="accent1" w:sz="8" w:space="0"/>
      </w:tblBorders>
    </w:tblPr>
    <w:tcPr>
      <w:tcBorders/>
    </w:tcPr>
    <w:tblStylePr w:type="band1Horz">
      <w:pPr>
        <w:pBdr/>
        <w:spacing/>
        <w:ind/>
      </w:pPr>
      <w:tblPr>
        <w:tblBorders/>
      </w:tblPr>
      <w:tcPr>
        <w:shd w:val="clear" w:color="auto" w:fill="d3dfee" w:themeFill="accent1" w:themeFillTint="3F"/>
        <w:tcBorders>
          <w:left w:val="none" w:color="000000" w:sz="4" w:space="0"/>
          <w:right w:val="none" w:color="000000" w:sz="4" w:space="0"/>
        </w:tcBorders>
      </w:tcPr>
    </w:tblStylePr>
    <w:tblStylePr w:type="band1Vert">
      <w:pPr>
        <w:pBdr/>
        <w:spacing/>
        <w:ind/>
      </w:pPr>
      <w:tblPr>
        <w:tblBorders/>
      </w:tblPr>
      <w:tcPr>
        <w:shd w:val="clear" w:color="auto" w:fill="d3dfee" w:themeFill="accen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4f81bd" w:themeColor="accent1" w:sz="8" w:space="0"/>
          <w:left w:val="none" w:color="000000" w:sz="4" w:space="0"/>
          <w:bottom w:val="single" w:color="4f81bd" w:themeColor="accent1"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f81bd" w:themeColor="accent1" w:sz="8" w:space="0"/>
          <w:left w:val="none" w:color="000000" w:sz="4" w:space="0"/>
          <w:bottom w:val="single" w:color="4f81bd" w:themeColor="accent1"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6">
    <w:name w:val="Light Shading Accent 2"/>
    <w:basedOn w:val="983"/>
    <w:uiPriority w:val="60"/>
    <w:pPr>
      <w:pBdr/>
      <w:spacing w:after="0" w:line="240" w:lineRule="auto"/>
      <w:ind/>
    </w:pPr>
    <w:rPr>
      <w:color w:val="943634" w:themeColor="accent2" w:themeShade="BF"/>
    </w:rPr>
    <w:tblPr>
      <w:tblStyleRowBandSize w:val="1"/>
      <w:tblStyleColBandSize w:val="1"/>
      <w:tblInd w:w="0" w:type="dxa"/>
      <w:tblCellMar>
        <w:left w:w="108" w:type="dxa"/>
        <w:top w:w="0" w:type="dxa"/>
        <w:right w:w="108" w:type="dxa"/>
        <w:bottom w:w="0" w:type="dxa"/>
      </w:tblCellMar>
      <w:tblBorders>
        <w:top w:val="single" w:color="c0504d" w:themeColor="accent2" w:sz="8" w:space="0"/>
        <w:bottom w:val="single" w:color="c0504d" w:themeColor="accent2" w:sz="8" w:space="0"/>
      </w:tblBorders>
    </w:tblPr>
    <w:tcPr>
      <w:tcBorders/>
    </w:tcPr>
    <w:tblStylePr w:type="band1Horz">
      <w:pPr>
        <w:pBdr/>
        <w:spacing/>
        <w:ind/>
      </w:pPr>
      <w:tblPr>
        <w:tblBorders/>
      </w:tblPr>
      <w:tcPr>
        <w:shd w:val="clear" w:color="auto" w:fill="efd3d2" w:themeFill="accent2" w:themeFillTint="3F"/>
        <w:tcBorders>
          <w:left w:val="none" w:color="000000" w:sz="4" w:space="0"/>
          <w:right w:val="none" w:color="000000" w:sz="4" w:space="0"/>
        </w:tcBorders>
      </w:tcPr>
    </w:tblStylePr>
    <w:tblStylePr w:type="band1Vert">
      <w:pPr>
        <w:pBdr/>
        <w:spacing/>
        <w:ind/>
      </w:pPr>
      <w:tblPr>
        <w:tblBorders/>
      </w:tblPr>
      <w:tcPr>
        <w:shd w:val="clear" w:color="auto" w:fill="efd3d2" w:themeFill="accent2"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c0504d" w:themeColor="accent2" w:sz="8" w:space="0"/>
          <w:left w:val="none" w:color="000000" w:sz="4" w:space="0"/>
          <w:bottom w:val="single" w:color="c0504d" w:themeColor="accent2"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c0504d" w:themeColor="accent2" w:sz="8" w:space="0"/>
          <w:left w:val="none" w:color="000000" w:sz="4" w:space="0"/>
          <w:bottom w:val="single" w:color="c0504d" w:themeColor="accent2"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7">
    <w:name w:val="Light Shading Accent 3"/>
    <w:basedOn w:val="983"/>
    <w:uiPriority w:val="60"/>
    <w:pPr>
      <w:pBdr/>
      <w:spacing w:after="0" w:line="240" w:lineRule="auto"/>
      <w:ind/>
    </w:pPr>
    <w:rPr>
      <w:color w:val="76923c" w:themeColor="accent3" w:themeShade="BF"/>
    </w:rPr>
    <w:tblPr>
      <w:tblStyleRowBandSize w:val="1"/>
      <w:tblStyleColBandSize w:val="1"/>
      <w:tblInd w:w="0" w:type="dxa"/>
      <w:tblCellMar>
        <w:left w:w="108" w:type="dxa"/>
        <w:top w:w="0" w:type="dxa"/>
        <w:right w:w="108" w:type="dxa"/>
        <w:bottom w:w="0" w:type="dxa"/>
      </w:tblCellMar>
      <w:tblBorders>
        <w:top w:val="single" w:color="9bbb59" w:themeColor="accent3" w:sz="8" w:space="0"/>
        <w:bottom w:val="single" w:color="9bbb59" w:themeColor="accent3" w:sz="8" w:space="0"/>
      </w:tblBorders>
    </w:tblPr>
    <w:tcPr>
      <w:tcBorders/>
    </w:tcPr>
    <w:tblStylePr w:type="band1Horz">
      <w:pPr>
        <w:pBdr/>
        <w:spacing/>
        <w:ind/>
      </w:pPr>
      <w:tblPr>
        <w:tblBorders/>
      </w:tblPr>
      <w:tcPr>
        <w:shd w:val="clear" w:color="auto" w:fill="e6eed5" w:themeFill="accent3" w:themeFillTint="3F"/>
        <w:tcBorders>
          <w:left w:val="none" w:color="000000" w:sz="4" w:space="0"/>
          <w:right w:val="none" w:color="000000" w:sz="4" w:space="0"/>
        </w:tcBorders>
      </w:tcPr>
    </w:tblStylePr>
    <w:tblStylePr w:type="band1Vert">
      <w:pPr>
        <w:pBdr/>
        <w:spacing/>
        <w:ind/>
      </w:pPr>
      <w:tblPr>
        <w:tblBorders/>
      </w:tblPr>
      <w:tcPr>
        <w:shd w:val="clear" w:color="auto" w:fill="e6eed5" w:themeFill="accent3"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9bbb59" w:themeColor="accent3" w:sz="8" w:space="0"/>
          <w:left w:val="none" w:color="000000" w:sz="4" w:space="0"/>
          <w:bottom w:val="single" w:color="9bbb59" w:themeColor="accent3"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9bbb59" w:themeColor="accent3" w:sz="8" w:space="0"/>
          <w:left w:val="none" w:color="000000" w:sz="4" w:space="0"/>
          <w:bottom w:val="single" w:color="9bbb59" w:themeColor="accent3"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8">
    <w:name w:val="Light Shading Accent 4"/>
    <w:basedOn w:val="983"/>
    <w:uiPriority w:val="60"/>
    <w:pPr>
      <w:pBdr/>
      <w:spacing w:after="0" w:line="240" w:lineRule="auto"/>
      <w:ind/>
    </w:pPr>
    <w:rPr>
      <w:color w:val="5f497a" w:themeColor="accent4" w:themeShade="BF"/>
    </w:rPr>
    <w:tblPr>
      <w:tblStyleRowBandSize w:val="1"/>
      <w:tblStyleColBandSize w:val="1"/>
      <w:tblInd w:w="0" w:type="dxa"/>
      <w:tblCellMar>
        <w:left w:w="108" w:type="dxa"/>
        <w:top w:w="0" w:type="dxa"/>
        <w:right w:w="108" w:type="dxa"/>
        <w:bottom w:w="0" w:type="dxa"/>
      </w:tblCellMar>
      <w:tblBorders>
        <w:top w:val="single" w:color="8064a2" w:themeColor="accent4" w:sz="8" w:space="0"/>
        <w:bottom w:val="single" w:color="8064a2" w:themeColor="accent4" w:sz="8" w:space="0"/>
      </w:tblBorders>
    </w:tblPr>
    <w:tcPr>
      <w:tcBorders/>
    </w:tcPr>
    <w:tblStylePr w:type="band1Horz">
      <w:pPr>
        <w:pBdr/>
        <w:spacing/>
        <w:ind/>
      </w:pPr>
      <w:tblPr>
        <w:tblBorders/>
      </w:tblPr>
      <w:tcPr>
        <w:shd w:val="clear" w:color="auto" w:fill="dfd8e8" w:themeFill="accent4" w:themeFillTint="3F"/>
        <w:tcBorders>
          <w:left w:val="none" w:color="000000" w:sz="4" w:space="0"/>
          <w:right w:val="none" w:color="000000" w:sz="4" w:space="0"/>
        </w:tcBorders>
      </w:tcPr>
    </w:tblStylePr>
    <w:tblStylePr w:type="band1Vert">
      <w:pPr>
        <w:pBdr/>
        <w:spacing/>
        <w:ind/>
      </w:pPr>
      <w:tblPr>
        <w:tblBorders/>
      </w:tblPr>
      <w:tcPr>
        <w:shd w:val="clear" w:color="auto" w:fill="dfd8e8" w:themeFill="accent4"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8064a2" w:themeColor="accent4" w:sz="8" w:space="0"/>
          <w:left w:val="none" w:color="000000" w:sz="4" w:space="0"/>
          <w:bottom w:val="single" w:color="8064a2" w:themeColor="accent4"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8064a2" w:themeColor="accent4" w:sz="8" w:space="0"/>
          <w:left w:val="none" w:color="000000" w:sz="4" w:space="0"/>
          <w:bottom w:val="single" w:color="8064a2" w:themeColor="accent4"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9">
    <w:name w:val="Light Shading Accent 5"/>
    <w:basedOn w:val="983"/>
    <w:uiPriority w:val="60"/>
    <w:pPr>
      <w:pBdr/>
      <w:spacing w:after="0" w:line="240" w:lineRule="auto"/>
      <w:ind/>
    </w:pPr>
    <w:rPr>
      <w:color w:val="31849b" w:themeColor="accent5" w:themeShade="BF"/>
    </w:rPr>
    <w:tblPr>
      <w:tblStyleRowBandSize w:val="1"/>
      <w:tblStyleColBandSize w:val="1"/>
      <w:tblInd w:w="0" w:type="dxa"/>
      <w:tblCellMar>
        <w:left w:w="108" w:type="dxa"/>
        <w:top w:w="0" w:type="dxa"/>
        <w:right w:w="108" w:type="dxa"/>
        <w:bottom w:w="0" w:type="dxa"/>
      </w:tblCellMar>
      <w:tblBorders>
        <w:top w:val="single" w:color="4bacc6" w:themeColor="accent5" w:sz="8" w:space="0"/>
        <w:bottom w:val="single" w:color="4bacc6" w:themeColor="accent5" w:sz="8" w:space="0"/>
      </w:tblBorders>
    </w:tblPr>
    <w:tcPr>
      <w:tcBorders/>
    </w:tcPr>
    <w:tblStylePr w:type="band1Horz">
      <w:pPr>
        <w:pBdr/>
        <w:spacing/>
        <w:ind/>
      </w:pPr>
      <w:tblPr>
        <w:tblBorders/>
      </w:tblPr>
      <w:tcPr>
        <w:shd w:val="clear" w:color="auto" w:fill="d2eaf1" w:themeFill="accent5" w:themeFillTint="3F"/>
        <w:tcBorders>
          <w:left w:val="none" w:color="000000" w:sz="4" w:space="0"/>
          <w:right w:val="none" w:color="000000" w:sz="4" w:space="0"/>
        </w:tcBorders>
      </w:tcPr>
    </w:tblStylePr>
    <w:tblStylePr w:type="band1Vert">
      <w:pPr>
        <w:pBdr/>
        <w:spacing/>
        <w:ind/>
      </w:pPr>
      <w:tblPr>
        <w:tblBorders/>
      </w:tblPr>
      <w:tcPr>
        <w:shd w:val="clear" w:color="auto" w:fill="d2eaf1" w:themeFill="accent5"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4bacc6" w:themeColor="accent5" w:sz="8" w:space="0"/>
          <w:left w:val="none" w:color="000000" w:sz="4" w:space="0"/>
          <w:bottom w:val="single" w:color="4bacc6" w:themeColor="accent5"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bacc6" w:themeColor="accent5" w:sz="8" w:space="0"/>
          <w:left w:val="none" w:color="000000" w:sz="4" w:space="0"/>
          <w:bottom w:val="single" w:color="4bacc6" w:themeColor="accent5"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0">
    <w:name w:val="Light Shading Accent 6"/>
    <w:basedOn w:val="983"/>
    <w:uiPriority w:val="60"/>
    <w:pPr>
      <w:pBdr/>
      <w:spacing w:after="0" w:line="240" w:lineRule="auto"/>
      <w:ind/>
    </w:pPr>
    <w:rPr>
      <w:color w:val="e36c0a" w:themeColor="accent6" w:themeShade="BF"/>
    </w:rPr>
    <w:tblPr>
      <w:tblStyleRowBandSize w:val="1"/>
      <w:tblStyleColBandSize w:val="1"/>
      <w:tblInd w:w="0" w:type="dxa"/>
      <w:tblCellMar>
        <w:left w:w="108" w:type="dxa"/>
        <w:top w:w="0" w:type="dxa"/>
        <w:right w:w="108" w:type="dxa"/>
        <w:bottom w:w="0" w:type="dxa"/>
      </w:tblCellMar>
      <w:tblBorders>
        <w:top w:val="single" w:color="f79646" w:themeColor="accent6" w:sz="8" w:space="0"/>
        <w:bottom w:val="single" w:color="f79646" w:themeColor="accent6" w:sz="8" w:space="0"/>
      </w:tblBorders>
    </w:tblPr>
    <w:tcPr>
      <w:tcBorders/>
    </w:tcPr>
    <w:tblStylePr w:type="band1Horz">
      <w:pPr>
        <w:pBdr/>
        <w:spacing/>
        <w:ind/>
      </w:pPr>
      <w:tblPr>
        <w:tblBorders/>
      </w:tblPr>
      <w:tcPr>
        <w:shd w:val="clear" w:color="auto" w:fill="fde4d0" w:themeFill="accent6" w:themeFillTint="3F"/>
        <w:tcBorders>
          <w:left w:val="none" w:color="000000" w:sz="4" w:space="0"/>
          <w:right w:val="none" w:color="000000" w:sz="4" w:space="0"/>
        </w:tcBorders>
      </w:tcPr>
    </w:tblStylePr>
    <w:tblStylePr w:type="band1Vert">
      <w:pPr>
        <w:pBdr/>
        <w:spacing/>
        <w:ind/>
      </w:pPr>
      <w:tblPr>
        <w:tblBorders/>
      </w:tblPr>
      <w:tcPr>
        <w:shd w:val="clear" w:color="auto" w:fill="fde4d0" w:themeFill="accent6"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f79646" w:themeColor="accent6" w:sz="8" w:space="0"/>
          <w:left w:val="none" w:color="000000" w:sz="4" w:space="0"/>
          <w:bottom w:val="single" w:color="f79646" w:themeColor="accent6"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f79646" w:themeColor="accent6" w:sz="8" w:space="0"/>
          <w:left w:val="none" w:color="000000" w:sz="4" w:space="0"/>
          <w:bottom w:val="single" w:color="f79646" w:themeColor="accent6"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1">
    <w:name w:val="Light List"/>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tblBorders>
    </w:tblPr>
    <w:tcPr>
      <w:tcBorders/>
    </w:tcPr>
    <w:tblStylePr w:type="band1Horz">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000000" w:themeFill="text1"/>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000000" w:themeColor="text1" w:sz="6" w:space="0"/>
          <w:left w:val="single" w:color="000000" w:themeColor="text1" w:sz="8" w:space="0"/>
          <w:bottom w:val="single" w:color="000000" w:themeColor="text1" w:sz="8" w:space="0"/>
          <w:right w:val="single" w:color="000000" w:themeColor="tex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2">
    <w:name w:val="Light List Accent 1"/>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cPr>
      <w:tcBorders/>
    </w:tcPr>
    <w:tblStylePr w:type="band1Horz">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f81bd" w:themeFill="accent1"/>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3">
    <w:name w:val="Light List Accent 2"/>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cPr>
      <w:tcBorders/>
    </w:tcPr>
    <w:tblStylePr w:type="band1Horz">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c0504d" w:themeFill="accent2"/>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4">
    <w:name w:val="Light List Accent 3"/>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cPr>
      <w:tcBorders/>
    </w:tcPr>
    <w:tblStylePr w:type="band1Horz">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9bbb59" w:themeFill="accent3"/>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5">
    <w:name w:val="Light List Accent 4"/>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cPr>
      <w:tcBorders/>
    </w:tcPr>
    <w:tblStylePr w:type="band1Horz">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8064a2" w:themeFill="accent4"/>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6">
    <w:name w:val="Light List Accent 5"/>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cPr>
      <w:tcBorders/>
    </w:tcPr>
    <w:tblStylePr w:type="band1Horz">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bacc6" w:themeFill="accent5"/>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7">
    <w:name w:val="Light List Accent 6"/>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cPr>
      <w:tcBorders/>
    </w:tcPr>
    <w:tblStylePr w:type="band1Horz">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f79646" w:themeFill="accent6"/>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8">
    <w:name w:val="Light Grid"/>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tcBorders/>
    </w:tcPr>
    <w:tblStylePr w:type="band1Horz">
      <w:pPr>
        <w:pBdr/>
        <w:spacing/>
        <w:ind/>
      </w:pPr>
      <w:tblPr>
        <w:tblBorders/>
      </w:tblPr>
      <w:tcPr>
        <w:shd w:val="clear" w:color="auto" w:fill="c0c0c0" w:themeFill="text1" w:themeFillTint="3F"/>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pPr>
        <w:pBdr/>
        <w:spacing/>
        <w:ind/>
      </w:pPr>
      <w:tblPr>
        <w:tblBorders/>
      </w:tblPr>
      <w:tcPr>
        <w:shd w:val="clear" w:color="auto" w:fill="c0c0c0" w:themeFill="text1" w:themeFillTint="3F"/>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2Horz">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000000" w:themeColor="text1" w:sz="8" w:space="0"/>
          <w:left w:val="single" w:color="000000" w:themeColor="text1" w:sz="8" w:space="0"/>
          <w:bottom w:val="single" w:color="000000" w:themeColor="text1" w:sz="18" w:space="0"/>
          <w:right w:val="single" w:color="000000" w:themeColor="text1" w:sz="8" w:space="0"/>
        </w:tcBorders>
      </w:tcPr>
    </w:tblStylePr>
    <w:tblStylePr w:type="lastCol">
      <w:rPr>
        <w:rFonts w:asciiTheme="majorHAnsi" w:hAnsiTheme="majorHAnsi" w:eastAsiaTheme="majorEastAsia" w:cstheme="majorBidi"/>
        <w:b/>
        <w:bCs/>
      </w:rPr>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000000" w:themeColor="text1" w:sz="6" w:space="0"/>
          <w:left w:val="single" w:color="000000" w:themeColor="text1" w:sz="8" w:space="0"/>
          <w:bottom w:val="single" w:color="000000" w:themeColor="text1" w:sz="8" w:space="0"/>
          <w:right w:val="single" w:color="000000" w:themeColor="tex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9">
    <w:name w:val="Light Grid Accent 1"/>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tcBorders/>
    </w:tcPr>
    <w:tblStylePr w:type="band1Horz">
      <w:pPr>
        <w:pBdr/>
        <w:spacing/>
        <w:ind/>
      </w:pPr>
      <w:tblPr>
        <w:tblBorders/>
      </w:tblPr>
      <w:tcPr>
        <w:shd w:val="clear" w:color="auto" w:fill="d3dfee" w:themeFill="accent1" w:themeFillTint="3F"/>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pPr>
        <w:pBdr/>
        <w:spacing/>
        <w:ind/>
      </w:pPr>
      <w:tblPr>
        <w:tblBorders/>
      </w:tblPr>
      <w:tcPr>
        <w:shd w:val="clear" w:color="auto" w:fill="d3dfee" w:themeFill="accent1" w:themeFillTint="3F"/>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2Horz">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4f81bd" w:themeColor="accent1" w:sz="8" w:space="0"/>
          <w:left w:val="single" w:color="4f81bd" w:themeColor="accent1" w:sz="8" w:space="0"/>
          <w:bottom w:val="single" w:color="4f81bd" w:themeColor="accent1" w:sz="18" w:space="0"/>
          <w:right w:val="single" w:color="4f81bd" w:themeColor="accent1" w:sz="8" w:space="0"/>
        </w:tcBorders>
      </w:tcPr>
    </w:tblStylePr>
    <w:tblStylePr w:type="lastCol">
      <w:rPr>
        <w:rFonts w:asciiTheme="majorHAnsi" w:hAnsiTheme="majorHAnsi" w:eastAsiaTheme="majorEastAsia" w:cstheme="majorBidi"/>
        <w:b/>
        <w:bCs/>
      </w:rPr>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0">
    <w:name w:val="Light Grid Accent 2"/>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tcBorders/>
    </w:tcPr>
    <w:tblStylePr w:type="band1Horz">
      <w:pPr>
        <w:pBdr/>
        <w:spacing/>
        <w:ind/>
      </w:pPr>
      <w:tblPr>
        <w:tblBorders/>
      </w:tblPr>
      <w:tcPr>
        <w:shd w:val="clear" w:color="auto" w:fill="efd3d2" w:themeFill="accent2" w:themeFillTint="3F"/>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pPr>
        <w:pBdr/>
        <w:spacing/>
        <w:ind/>
      </w:pPr>
      <w:tblPr>
        <w:tblBorders/>
      </w:tblPr>
      <w:tcPr>
        <w:shd w:val="clear" w:color="auto" w:fill="efd3d2" w:themeFill="accent2" w:themeFillTint="3F"/>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2Horz">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c0504d" w:themeColor="accent2" w:sz="8" w:space="0"/>
          <w:left w:val="single" w:color="c0504d" w:themeColor="accent2" w:sz="8" w:space="0"/>
          <w:bottom w:val="single" w:color="c0504d" w:themeColor="accent2" w:sz="18" w:space="0"/>
          <w:right w:val="single" w:color="c0504d" w:themeColor="accent2" w:sz="8" w:space="0"/>
        </w:tcBorders>
      </w:tcPr>
    </w:tblStylePr>
    <w:tblStylePr w:type="lastCol">
      <w:rPr>
        <w:rFonts w:asciiTheme="majorHAnsi" w:hAnsiTheme="majorHAnsi" w:eastAsiaTheme="majorEastAsia" w:cstheme="majorBidi"/>
        <w:b/>
        <w:bCs/>
      </w:rPr>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1">
    <w:name w:val="Light Grid Accent 3"/>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tcBorders/>
    </w:tcPr>
    <w:tblStylePr w:type="band1Horz">
      <w:pPr>
        <w:pBdr/>
        <w:spacing/>
        <w:ind/>
      </w:pPr>
      <w:tblPr>
        <w:tblBorders/>
      </w:tblPr>
      <w:tcPr>
        <w:shd w:val="clear" w:color="auto" w:fill="e6eed5" w:themeFill="accent3" w:themeFillTint="3F"/>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pPr>
        <w:pBdr/>
        <w:spacing/>
        <w:ind/>
      </w:pPr>
      <w:tblPr>
        <w:tblBorders/>
      </w:tblPr>
      <w:tcPr>
        <w:shd w:val="clear" w:color="auto" w:fill="e6eed5" w:themeFill="accent3" w:themeFillTint="3F"/>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2Horz">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9bbb59" w:themeColor="accent3" w:sz="8" w:space="0"/>
          <w:left w:val="single" w:color="9bbb59" w:themeColor="accent3" w:sz="8" w:space="0"/>
          <w:bottom w:val="single" w:color="9bbb59" w:themeColor="accent3" w:sz="18" w:space="0"/>
          <w:right w:val="single" w:color="9bbb59" w:themeColor="accent3" w:sz="8" w:space="0"/>
        </w:tcBorders>
      </w:tcPr>
    </w:tblStylePr>
    <w:tblStylePr w:type="lastCol">
      <w:rPr>
        <w:rFonts w:asciiTheme="majorHAnsi" w:hAnsiTheme="majorHAnsi" w:eastAsiaTheme="majorEastAsia" w:cstheme="majorBidi"/>
        <w:b/>
        <w:bCs/>
      </w:rPr>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2">
    <w:name w:val="Light Grid Accent 4"/>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tcBorders/>
    </w:tcPr>
    <w:tblStylePr w:type="band1Horz">
      <w:pPr>
        <w:pBdr/>
        <w:spacing/>
        <w:ind/>
      </w:pPr>
      <w:tblPr>
        <w:tblBorders/>
      </w:tblPr>
      <w:tcPr>
        <w:shd w:val="clear" w:color="auto" w:fill="dfd8e8" w:themeFill="accent4" w:themeFillTint="3F"/>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pPr>
        <w:pBdr/>
        <w:spacing/>
        <w:ind/>
      </w:pPr>
      <w:tblPr>
        <w:tblBorders/>
      </w:tblPr>
      <w:tcPr>
        <w:shd w:val="clear" w:color="auto" w:fill="dfd8e8" w:themeFill="accent4" w:themeFillTint="3F"/>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2Horz">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8064a2" w:themeColor="accent4" w:sz="8" w:space="0"/>
          <w:left w:val="single" w:color="8064a2" w:themeColor="accent4" w:sz="8" w:space="0"/>
          <w:bottom w:val="single" w:color="8064a2" w:themeColor="accent4" w:sz="18" w:space="0"/>
          <w:right w:val="single" w:color="8064a2" w:themeColor="accent4" w:sz="8" w:space="0"/>
        </w:tcBorders>
      </w:tcPr>
    </w:tblStylePr>
    <w:tblStylePr w:type="lastCol">
      <w:rPr>
        <w:rFonts w:asciiTheme="majorHAnsi" w:hAnsiTheme="majorHAnsi" w:eastAsiaTheme="majorEastAsia" w:cstheme="majorBidi"/>
        <w:b/>
        <w:bCs/>
      </w:rPr>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3">
    <w:name w:val="Light Grid Accent 5"/>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tcBorders/>
    </w:tcPr>
    <w:tblStylePr w:type="band1Horz">
      <w:pPr>
        <w:pBdr/>
        <w:spacing/>
        <w:ind/>
      </w:pPr>
      <w:tblPr>
        <w:tblBorders/>
      </w:tblPr>
      <w:tcPr>
        <w:shd w:val="clear" w:color="auto" w:fill="d2eaf1" w:themeFill="accent5" w:themeFillTint="3F"/>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pPr>
        <w:pBdr/>
        <w:spacing/>
        <w:ind/>
      </w:pPr>
      <w:tblPr>
        <w:tblBorders/>
      </w:tblPr>
      <w:tcPr>
        <w:shd w:val="clear" w:color="auto" w:fill="d2eaf1" w:themeFill="accent5" w:themeFillTint="3F"/>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2Horz">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4bacc6" w:themeColor="accent5" w:sz="8" w:space="0"/>
          <w:left w:val="single" w:color="4bacc6" w:themeColor="accent5" w:sz="8" w:space="0"/>
          <w:bottom w:val="single" w:color="4bacc6" w:themeColor="accent5" w:sz="18" w:space="0"/>
          <w:right w:val="single" w:color="4bacc6" w:themeColor="accent5" w:sz="8" w:space="0"/>
        </w:tcBorders>
      </w:tcPr>
    </w:tblStylePr>
    <w:tblStylePr w:type="lastCol">
      <w:rPr>
        <w:rFonts w:asciiTheme="majorHAnsi" w:hAnsiTheme="majorHAnsi" w:eastAsiaTheme="majorEastAsia" w:cstheme="majorBidi"/>
        <w:b/>
        <w:bCs/>
      </w:rPr>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4">
    <w:name w:val="Light Grid Accent 6"/>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tcBorders/>
    </w:tcPr>
    <w:tblStylePr w:type="band1Horz">
      <w:pPr>
        <w:pBdr/>
        <w:spacing/>
        <w:ind/>
      </w:pPr>
      <w:tblPr>
        <w:tblBorders/>
      </w:tblPr>
      <w:tcPr>
        <w:shd w:val="clear" w:color="auto" w:fill="fde4d0" w:themeFill="accent6" w:themeFillTint="3F"/>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pPr>
        <w:pBdr/>
        <w:spacing/>
        <w:ind/>
      </w:pPr>
      <w:tblPr>
        <w:tblBorders/>
      </w:tblPr>
      <w:tcPr>
        <w:shd w:val="clear" w:color="auto" w:fill="fde4d0" w:themeFill="accent6" w:themeFillTint="3F"/>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2Horz">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f79646" w:themeColor="accent6" w:sz="8" w:space="0"/>
          <w:left w:val="single" w:color="f79646" w:themeColor="accent6" w:sz="8" w:space="0"/>
          <w:bottom w:val="single" w:color="f79646" w:themeColor="accent6" w:sz="18" w:space="0"/>
          <w:right w:val="single" w:color="f79646" w:themeColor="accent6" w:sz="8" w:space="0"/>
        </w:tcBorders>
      </w:tcPr>
    </w:tblStylePr>
    <w:tblStylePr w:type="lastCol">
      <w:rPr>
        <w:rFonts w:asciiTheme="majorHAnsi" w:hAnsiTheme="majorHAnsi" w:eastAsiaTheme="majorEastAsia" w:cstheme="majorBidi"/>
        <w:b/>
        <w:bCs/>
      </w:rPr>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5">
    <w:name w:val="Medium Shading 1"/>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cPr>
      <w:tcBorders/>
    </w:tcPr>
    <w:tblStylePr w:type="band1Horz">
      <w:pPr>
        <w:pBdr/>
        <w:spacing/>
        <w:ind/>
      </w:pPr>
      <w:tblPr>
        <w:tblBorders/>
      </w:tblPr>
      <w:tcPr>
        <w:shd w:val="clear" w:color="auto" w:fill="c0c0c0" w:themeFill="text1" w:themeFillTint="3F"/>
        <w:tcBorders/>
      </w:tcPr>
    </w:tblStylePr>
    <w:tblStylePr w:type="band1Vert">
      <w:pPr>
        <w:pBdr/>
        <w:spacing/>
        <w:ind/>
      </w:pPr>
      <w:tblPr>
        <w:tblBorders/>
      </w:tblPr>
      <w:tcPr>
        <w:shd w:val="clear" w:color="auto" w:fill="c0c0c0" w:themeFill="tex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000000" w:themeFill="text1"/>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6">
    <w:name w:val="Medium Shading 1 Accent 1"/>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cPr>
      <w:tcBorders/>
    </w:tcPr>
    <w:tblStylePr w:type="band1Horz">
      <w:pPr>
        <w:pBdr/>
        <w:spacing/>
        <w:ind/>
      </w:pPr>
      <w:tblPr>
        <w:tblBorders/>
      </w:tblPr>
      <w:tcPr>
        <w:shd w:val="clear" w:color="auto" w:fill="d3dfee" w:themeFill="accent1" w:themeFillTint="3F"/>
        <w:tcBorders/>
      </w:tcPr>
    </w:tblStylePr>
    <w:tblStylePr w:type="band1Vert">
      <w:pPr>
        <w:pBdr/>
        <w:spacing/>
        <w:ind/>
      </w:pPr>
      <w:tblPr>
        <w:tblBorders/>
      </w:tblPr>
      <w:tcPr>
        <w:shd w:val="clear" w:color="auto" w:fill="d3dfee" w:themeFill="accen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f81bd" w:themeFill="accent1"/>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7">
    <w:name w:val="Medium Shading 1 Accent 2"/>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cPr>
      <w:tcBorders/>
    </w:tcPr>
    <w:tblStylePr w:type="band1Horz">
      <w:pPr>
        <w:pBdr/>
        <w:spacing/>
        <w:ind/>
      </w:pPr>
      <w:tblPr>
        <w:tblBorders/>
      </w:tblPr>
      <w:tcPr>
        <w:shd w:val="clear" w:color="auto" w:fill="efd3d2" w:themeFill="accent2" w:themeFillTint="3F"/>
        <w:tcBorders/>
      </w:tcPr>
    </w:tblStylePr>
    <w:tblStylePr w:type="band1Vert">
      <w:pPr>
        <w:pBdr/>
        <w:spacing/>
        <w:ind/>
      </w:pPr>
      <w:tblPr>
        <w:tblBorders/>
      </w:tblPr>
      <w:tcPr>
        <w:shd w:val="clear" w:color="auto" w:fill="efd3d2" w:themeFill="accent2"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c0504d" w:themeFill="accent2"/>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8">
    <w:name w:val="Medium Shading 1 Accent 3"/>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cPr>
      <w:tcBorders/>
    </w:tcPr>
    <w:tblStylePr w:type="band1Horz">
      <w:pPr>
        <w:pBdr/>
        <w:spacing/>
        <w:ind/>
      </w:pPr>
      <w:tblPr>
        <w:tblBorders/>
      </w:tblPr>
      <w:tcPr>
        <w:shd w:val="clear" w:color="auto" w:fill="e6eed5" w:themeFill="accent3" w:themeFillTint="3F"/>
        <w:tcBorders/>
      </w:tcPr>
    </w:tblStylePr>
    <w:tblStylePr w:type="band1Vert">
      <w:pPr>
        <w:pBdr/>
        <w:spacing/>
        <w:ind/>
      </w:pPr>
      <w:tblPr>
        <w:tblBorders/>
      </w:tblPr>
      <w:tcPr>
        <w:shd w:val="clear" w:color="auto" w:fill="e6eed5" w:themeFill="accent3"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9bbb59" w:themeFill="accent3"/>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9">
    <w:name w:val="Medium Shading 1 Accent 4"/>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cPr>
      <w:tcBorders/>
    </w:tcPr>
    <w:tblStylePr w:type="band1Horz">
      <w:pPr>
        <w:pBdr/>
        <w:spacing/>
        <w:ind/>
      </w:pPr>
      <w:tblPr>
        <w:tblBorders/>
      </w:tblPr>
      <w:tcPr>
        <w:shd w:val="clear" w:color="auto" w:fill="dfd8e8" w:themeFill="accent4" w:themeFillTint="3F"/>
        <w:tcBorders/>
      </w:tcPr>
    </w:tblStylePr>
    <w:tblStylePr w:type="band1Vert">
      <w:pPr>
        <w:pBdr/>
        <w:spacing/>
        <w:ind/>
      </w:pPr>
      <w:tblPr>
        <w:tblBorders/>
      </w:tblPr>
      <w:tcPr>
        <w:shd w:val="clear" w:color="auto" w:fill="dfd8e8" w:themeFill="accent4"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8064a2" w:themeFill="accent4"/>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0">
    <w:name w:val="Medium Shading 1 Accent 5"/>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cPr>
      <w:tcBorders/>
    </w:tcPr>
    <w:tblStylePr w:type="band1Horz">
      <w:pPr>
        <w:pBdr/>
        <w:spacing/>
        <w:ind/>
      </w:pPr>
      <w:tblPr>
        <w:tblBorders/>
      </w:tblPr>
      <w:tcPr>
        <w:shd w:val="clear" w:color="auto" w:fill="d2eaf1" w:themeFill="accent5" w:themeFillTint="3F"/>
        <w:tcBorders/>
      </w:tcPr>
    </w:tblStylePr>
    <w:tblStylePr w:type="band1Vert">
      <w:pPr>
        <w:pBdr/>
        <w:spacing/>
        <w:ind/>
      </w:pPr>
      <w:tblPr>
        <w:tblBorders/>
      </w:tblPr>
      <w:tcPr>
        <w:shd w:val="clear" w:color="auto" w:fill="d2eaf1" w:themeFill="accent5"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bacc6" w:themeFill="accent5"/>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1">
    <w:name w:val="Medium Shading 1 Accent 6"/>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cPr>
      <w:tcBorders/>
    </w:tcPr>
    <w:tblStylePr w:type="band1Horz">
      <w:pPr>
        <w:pBdr/>
        <w:spacing/>
        <w:ind/>
      </w:pPr>
      <w:tblPr>
        <w:tblBorders/>
      </w:tblPr>
      <w:tcPr>
        <w:shd w:val="clear" w:color="auto" w:fill="fde4d0" w:themeFill="accent6" w:themeFillTint="3F"/>
        <w:tcBorders/>
      </w:tcPr>
    </w:tblStylePr>
    <w:tblStylePr w:type="band1Vert">
      <w:pPr>
        <w:pBdr/>
        <w:spacing/>
        <w:ind/>
      </w:pPr>
      <w:tblPr>
        <w:tblBorders/>
      </w:tblPr>
      <w:tcPr>
        <w:shd w:val="clear" w:color="auto" w:fill="fde4d0" w:themeFill="accent6"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f79646" w:themeFill="accent6"/>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2">
    <w:name w:val="Medium Shading 2"/>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000000" w:themeFill="text1"/>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000000" w:themeFill="text1"/>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000000" w:themeFill="text1"/>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3">
    <w:name w:val="Medium Shading 2 Accent 1"/>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4f81bd" w:themeFill="accent1"/>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4f81bd" w:themeFill="accent1"/>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4f81bd" w:themeFill="accent1"/>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4">
    <w:name w:val="Medium Shading 2 Accent 2"/>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c0504d" w:themeFill="accent2"/>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c0504d" w:themeFill="accent2"/>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c0504d" w:themeFill="accent2"/>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5">
    <w:name w:val="Medium Shading 2 Accent 3"/>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9bbb59" w:themeFill="accent3"/>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9bbb59" w:themeFill="accent3"/>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9bbb59" w:themeFill="accent3"/>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6">
    <w:name w:val="Medium Shading 2 Accent 4"/>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8064a2" w:themeFill="accent4"/>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8064a2" w:themeFill="accent4"/>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8064a2" w:themeFill="accent4"/>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7">
    <w:name w:val="Medium Shading 2 Accent 5"/>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4bacc6" w:themeFill="accent5"/>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4bacc6" w:themeFill="accent5"/>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4bacc6" w:themeFill="accent5"/>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8">
    <w:name w:val="Medium Shading 2 Accent 6"/>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f79646" w:themeFill="accent6"/>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f79646" w:themeFill="accent6"/>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f79646" w:themeFill="accent6"/>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9">
    <w:name w:val="Medium List 1"/>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000000" w:themeColor="text1" w:sz="8" w:space="0"/>
        <w:bottom w:val="single" w:color="000000" w:themeColor="text1" w:sz="8" w:space="0"/>
      </w:tblBorders>
    </w:tblPr>
    <w:tcPr>
      <w:tcBorders/>
    </w:tcPr>
    <w:tblStylePr w:type="band1Horz">
      <w:pPr>
        <w:pBdr/>
        <w:spacing/>
        <w:ind/>
      </w:pPr>
      <w:tblPr>
        <w:tblBorders/>
      </w:tblPr>
      <w:tcPr>
        <w:shd w:val="clear" w:color="auto" w:fill="c0c0c0" w:themeFill="text1" w:themeFillTint="3F"/>
        <w:tcBorders/>
      </w:tcPr>
    </w:tblStylePr>
    <w:tblStylePr w:type="band1Vert">
      <w:pPr>
        <w:pBdr/>
        <w:spacing/>
        <w:ind/>
      </w:pPr>
      <w:tblPr>
        <w:tblBorders/>
      </w:tblPr>
      <w:tcPr>
        <w:shd w:val="clear" w:color="auto" w:fill="c0c0c0" w:themeFill="tex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000000" w:themeColor="text1" w:sz="8" w:space="0"/>
        </w:tcBorders>
      </w:tcPr>
    </w:tblStylePr>
    <w:tblStylePr w:type="lastCol">
      <w:rPr>
        <w:b/>
        <w:bCs/>
      </w:rPr>
      <w:pPr>
        <w:pBdr/>
        <w:spacing/>
        <w:ind/>
      </w:pPr>
      <w:tblPr>
        <w:tblBorders/>
      </w:tblPr>
      <w:tcPr>
        <w:tcBorders>
          <w:top w:val="single" w:color="000000" w:themeColor="text1" w:sz="8" w:space="0"/>
          <w:bottom w:val="single" w:color="000000" w:themeColor="text1" w:sz="8" w:space="0"/>
        </w:tcBorders>
      </w:tcPr>
    </w:tblStylePr>
    <w:tblStylePr w:type="lastRow">
      <w:rPr>
        <w:b/>
        <w:bCs/>
        <w:color w:val="1f497d" w:themeColor="text2"/>
      </w:rPr>
      <w:pPr>
        <w:pBdr/>
        <w:spacing/>
        <w:ind/>
      </w:pPr>
      <w:tblPr>
        <w:tblBorders/>
      </w:tblPr>
      <w:tcPr>
        <w:tcBorders>
          <w:top w:val="single" w:color="000000" w:themeColor="text1" w:sz="8" w:space="0"/>
          <w:bottom w:val="single" w:color="000000" w:themeColor="tex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0">
    <w:name w:val="Medium List 1 Accent 1"/>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4f81bd" w:themeColor="accent1" w:sz="8" w:space="0"/>
        <w:bottom w:val="single" w:color="4f81bd" w:themeColor="accent1" w:sz="8" w:space="0"/>
      </w:tblBorders>
    </w:tblPr>
    <w:tcPr>
      <w:tcBorders/>
    </w:tcPr>
    <w:tblStylePr w:type="band1Horz">
      <w:pPr>
        <w:pBdr/>
        <w:spacing/>
        <w:ind/>
      </w:pPr>
      <w:tblPr>
        <w:tblBorders/>
      </w:tblPr>
      <w:tcPr>
        <w:shd w:val="clear" w:color="auto" w:fill="d3dfee" w:themeFill="accent1" w:themeFillTint="3F"/>
        <w:tcBorders/>
      </w:tcPr>
    </w:tblStylePr>
    <w:tblStylePr w:type="band1Vert">
      <w:pPr>
        <w:pBdr/>
        <w:spacing/>
        <w:ind/>
      </w:pPr>
      <w:tblPr>
        <w:tblBorders/>
      </w:tblPr>
      <w:tcPr>
        <w:shd w:val="clear" w:color="auto" w:fill="d3dfee" w:themeFill="accen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4f81bd" w:themeColor="accent1" w:sz="8" w:space="0"/>
        </w:tcBorders>
      </w:tcPr>
    </w:tblStylePr>
    <w:tblStylePr w:type="lastCol">
      <w:rPr>
        <w:b/>
        <w:bCs/>
      </w:rPr>
      <w:pPr>
        <w:pBdr/>
        <w:spacing/>
        <w:ind/>
      </w:pPr>
      <w:tblPr>
        <w:tblBorders/>
      </w:tblPr>
      <w:tcPr>
        <w:tcBorders>
          <w:top w:val="single" w:color="4f81bd" w:themeColor="accent1" w:sz="8" w:space="0"/>
          <w:bottom w:val="single" w:color="4f81bd" w:themeColor="accent1" w:sz="8" w:space="0"/>
        </w:tcBorders>
      </w:tcPr>
    </w:tblStylePr>
    <w:tblStylePr w:type="lastRow">
      <w:rPr>
        <w:b/>
        <w:bCs/>
        <w:color w:val="1f497d" w:themeColor="text2"/>
      </w:rPr>
      <w:pPr>
        <w:pBdr/>
        <w:spacing/>
        <w:ind/>
      </w:pPr>
      <w:tblPr>
        <w:tblBorders/>
      </w:tblPr>
      <w:tcPr>
        <w:tcBorders>
          <w:top w:val="single" w:color="4f81bd" w:themeColor="accent1" w:sz="8" w:space="0"/>
          <w:bottom w:val="single" w:color="4f81bd" w:themeColor="accen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1">
    <w:name w:val="Medium List 1 Accent 2"/>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8" w:space="0"/>
        <w:bottom w:val="single" w:color="c0504d" w:themeColor="accent2" w:sz="8" w:space="0"/>
      </w:tblBorders>
    </w:tblPr>
    <w:tcPr>
      <w:tcBorders/>
    </w:tcPr>
    <w:tblStylePr w:type="band1Horz">
      <w:pPr>
        <w:pBdr/>
        <w:spacing/>
        <w:ind/>
      </w:pPr>
      <w:tblPr>
        <w:tblBorders/>
      </w:tblPr>
      <w:tcPr>
        <w:shd w:val="clear" w:color="auto" w:fill="efd3d2" w:themeFill="accent2" w:themeFillTint="3F"/>
        <w:tcBorders/>
      </w:tcPr>
    </w:tblStylePr>
    <w:tblStylePr w:type="band1Vert">
      <w:pPr>
        <w:pBdr/>
        <w:spacing/>
        <w:ind/>
      </w:pPr>
      <w:tblPr>
        <w:tblBorders/>
      </w:tblPr>
      <w:tcPr>
        <w:shd w:val="clear" w:color="auto" w:fill="efd3d2" w:themeFill="accent2"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c0504d" w:themeColor="accent2" w:sz="8" w:space="0"/>
        </w:tcBorders>
      </w:tcPr>
    </w:tblStylePr>
    <w:tblStylePr w:type="lastCol">
      <w:rPr>
        <w:b/>
        <w:bCs/>
      </w:rPr>
      <w:pPr>
        <w:pBdr/>
        <w:spacing/>
        <w:ind/>
      </w:pPr>
      <w:tblPr>
        <w:tblBorders/>
      </w:tblPr>
      <w:tcPr>
        <w:tcBorders>
          <w:top w:val="single" w:color="c0504d" w:themeColor="accent2" w:sz="8" w:space="0"/>
          <w:bottom w:val="single" w:color="c0504d" w:themeColor="accent2" w:sz="8" w:space="0"/>
        </w:tcBorders>
      </w:tcPr>
    </w:tblStylePr>
    <w:tblStylePr w:type="lastRow">
      <w:rPr>
        <w:b/>
        <w:bCs/>
        <w:color w:val="1f497d" w:themeColor="text2"/>
      </w:rPr>
      <w:pPr>
        <w:pBdr/>
        <w:spacing/>
        <w:ind/>
      </w:pPr>
      <w:tblPr>
        <w:tblBorders/>
      </w:tblPr>
      <w:tcPr>
        <w:tcBorders>
          <w:top w:val="single" w:color="c0504d" w:themeColor="accent2" w:sz="8" w:space="0"/>
          <w:bottom w:val="single" w:color="c0504d" w:themeColor="accent2"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2">
    <w:name w:val="Medium List 1 Accent 3"/>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8" w:space="0"/>
        <w:bottom w:val="single" w:color="9bbb59" w:themeColor="accent3" w:sz="8" w:space="0"/>
      </w:tblBorders>
    </w:tblPr>
    <w:tcPr>
      <w:tcBorders/>
    </w:tcPr>
    <w:tblStylePr w:type="band1Horz">
      <w:pPr>
        <w:pBdr/>
        <w:spacing/>
        <w:ind/>
      </w:pPr>
      <w:tblPr>
        <w:tblBorders/>
      </w:tblPr>
      <w:tcPr>
        <w:shd w:val="clear" w:color="auto" w:fill="e6eed5" w:themeFill="accent3" w:themeFillTint="3F"/>
        <w:tcBorders/>
      </w:tcPr>
    </w:tblStylePr>
    <w:tblStylePr w:type="band1Vert">
      <w:pPr>
        <w:pBdr/>
        <w:spacing/>
        <w:ind/>
      </w:pPr>
      <w:tblPr>
        <w:tblBorders/>
      </w:tblPr>
      <w:tcPr>
        <w:shd w:val="clear" w:color="auto" w:fill="e6eed5" w:themeFill="accent3"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9bbb59" w:themeColor="accent3" w:sz="8" w:space="0"/>
        </w:tcBorders>
      </w:tcPr>
    </w:tblStylePr>
    <w:tblStylePr w:type="lastCol">
      <w:rPr>
        <w:b/>
        <w:bCs/>
      </w:rPr>
      <w:pPr>
        <w:pBdr/>
        <w:spacing/>
        <w:ind/>
      </w:pPr>
      <w:tblPr>
        <w:tblBorders/>
      </w:tblPr>
      <w:tcPr>
        <w:tcBorders>
          <w:top w:val="single" w:color="9bbb59" w:themeColor="accent3" w:sz="8" w:space="0"/>
          <w:bottom w:val="single" w:color="9bbb59" w:themeColor="accent3" w:sz="8" w:space="0"/>
        </w:tcBorders>
      </w:tcPr>
    </w:tblStylePr>
    <w:tblStylePr w:type="lastRow">
      <w:rPr>
        <w:b/>
        <w:bCs/>
        <w:color w:val="1f497d" w:themeColor="text2"/>
      </w:rPr>
      <w:pPr>
        <w:pBdr/>
        <w:spacing/>
        <w:ind/>
      </w:pPr>
      <w:tblPr>
        <w:tblBorders/>
      </w:tblPr>
      <w:tcPr>
        <w:tcBorders>
          <w:top w:val="single" w:color="9bbb59" w:themeColor="accent3" w:sz="8" w:space="0"/>
          <w:bottom w:val="single" w:color="9bbb59" w:themeColor="accent3"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3">
    <w:name w:val="Medium List 1 Accent 4"/>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8" w:space="0"/>
        <w:bottom w:val="single" w:color="8064a2" w:themeColor="accent4" w:sz="8" w:space="0"/>
      </w:tblBorders>
    </w:tblPr>
    <w:tcPr>
      <w:tcBorders/>
    </w:tcPr>
    <w:tblStylePr w:type="band1Horz">
      <w:pPr>
        <w:pBdr/>
        <w:spacing/>
        <w:ind/>
      </w:pPr>
      <w:tblPr>
        <w:tblBorders/>
      </w:tblPr>
      <w:tcPr>
        <w:shd w:val="clear" w:color="auto" w:fill="dfd8e8" w:themeFill="accent4" w:themeFillTint="3F"/>
        <w:tcBorders/>
      </w:tcPr>
    </w:tblStylePr>
    <w:tblStylePr w:type="band1Vert">
      <w:pPr>
        <w:pBdr/>
        <w:spacing/>
        <w:ind/>
      </w:pPr>
      <w:tblPr>
        <w:tblBorders/>
      </w:tblPr>
      <w:tcPr>
        <w:shd w:val="clear" w:color="auto" w:fill="dfd8e8" w:themeFill="accent4"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8064a2" w:themeColor="accent4" w:sz="8" w:space="0"/>
        </w:tcBorders>
      </w:tcPr>
    </w:tblStylePr>
    <w:tblStylePr w:type="lastCol">
      <w:rPr>
        <w:b/>
        <w:bCs/>
      </w:rPr>
      <w:pPr>
        <w:pBdr/>
        <w:spacing/>
        <w:ind/>
      </w:pPr>
      <w:tblPr>
        <w:tblBorders/>
      </w:tblPr>
      <w:tcPr>
        <w:tcBorders>
          <w:top w:val="single" w:color="8064a2" w:themeColor="accent4" w:sz="8" w:space="0"/>
          <w:bottom w:val="single" w:color="8064a2" w:themeColor="accent4" w:sz="8" w:space="0"/>
        </w:tcBorders>
      </w:tcPr>
    </w:tblStylePr>
    <w:tblStylePr w:type="lastRow">
      <w:rPr>
        <w:b/>
        <w:bCs/>
        <w:color w:val="1f497d" w:themeColor="text2"/>
      </w:rPr>
      <w:pPr>
        <w:pBdr/>
        <w:spacing/>
        <w:ind/>
      </w:pPr>
      <w:tblPr>
        <w:tblBorders/>
      </w:tblPr>
      <w:tcPr>
        <w:tcBorders>
          <w:top w:val="single" w:color="8064a2" w:themeColor="accent4" w:sz="8" w:space="0"/>
          <w:bottom w:val="single" w:color="8064a2" w:themeColor="accent4"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4">
    <w:name w:val="Medium List 1 Accent 5"/>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8" w:space="0"/>
        <w:bottom w:val="single" w:color="4bacc6" w:themeColor="accent5" w:sz="8" w:space="0"/>
      </w:tblBorders>
    </w:tblPr>
    <w:tcPr>
      <w:tcBorders/>
    </w:tcPr>
    <w:tblStylePr w:type="band1Horz">
      <w:pPr>
        <w:pBdr/>
        <w:spacing/>
        <w:ind/>
      </w:pPr>
      <w:tblPr>
        <w:tblBorders/>
      </w:tblPr>
      <w:tcPr>
        <w:shd w:val="clear" w:color="auto" w:fill="d2eaf1" w:themeFill="accent5" w:themeFillTint="3F"/>
        <w:tcBorders/>
      </w:tcPr>
    </w:tblStylePr>
    <w:tblStylePr w:type="band1Vert">
      <w:pPr>
        <w:pBdr/>
        <w:spacing/>
        <w:ind/>
      </w:pPr>
      <w:tblPr>
        <w:tblBorders/>
      </w:tblPr>
      <w:tcPr>
        <w:shd w:val="clear" w:color="auto" w:fill="d2eaf1" w:themeFill="accent5"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4bacc6" w:themeColor="accent5" w:sz="8" w:space="0"/>
        </w:tcBorders>
      </w:tcPr>
    </w:tblStylePr>
    <w:tblStylePr w:type="lastCol">
      <w:rPr>
        <w:b/>
        <w:bCs/>
      </w:rPr>
      <w:pPr>
        <w:pBdr/>
        <w:spacing/>
        <w:ind/>
      </w:pPr>
      <w:tblPr>
        <w:tblBorders/>
      </w:tblPr>
      <w:tcPr>
        <w:tcBorders>
          <w:top w:val="single" w:color="4bacc6" w:themeColor="accent5" w:sz="8" w:space="0"/>
          <w:bottom w:val="single" w:color="4bacc6" w:themeColor="accent5" w:sz="8" w:space="0"/>
        </w:tcBorders>
      </w:tcPr>
    </w:tblStylePr>
    <w:tblStylePr w:type="lastRow">
      <w:rPr>
        <w:b/>
        <w:bCs/>
        <w:color w:val="1f497d" w:themeColor="text2"/>
      </w:rPr>
      <w:pPr>
        <w:pBdr/>
        <w:spacing/>
        <w:ind/>
      </w:pPr>
      <w:tblPr>
        <w:tblBorders/>
      </w:tblPr>
      <w:tcPr>
        <w:tcBorders>
          <w:top w:val="single" w:color="4bacc6" w:themeColor="accent5" w:sz="8" w:space="0"/>
          <w:bottom w:val="single" w:color="4bacc6" w:themeColor="accent5"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5">
    <w:name w:val="Medium List 1 Accent 6"/>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8" w:space="0"/>
        <w:bottom w:val="single" w:color="f79646" w:themeColor="accent6" w:sz="8" w:space="0"/>
      </w:tblBorders>
    </w:tblPr>
    <w:tcPr>
      <w:tcBorders/>
    </w:tcPr>
    <w:tblStylePr w:type="band1Horz">
      <w:pPr>
        <w:pBdr/>
        <w:spacing/>
        <w:ind/>
      </w:pPr>
      <w:tblPr>
        <w:tblBorders/>
      </w:tblPr>
      <w:tcPr>
        <w:shd w:val="clear" w:color="auto" w:fill="fde4d0" w:themeFill="accent6" w:themeFillTint="3F"/>
        <w:tcBorders/>
      </w:tcPr>
    </w:tblStylePr>
    <w:tblStylePr w:type="band1Vert">
      <w:pPr>
        <w:pBdr/>
        <w:spacing/>
        <w:ind/>
      </w:pPr>
      <w:tblPr>
        <w:tblBorders/>
      </w:tblPr>
      <w:tcPr>
        <w:shd w:val="clear" w:color="auto" w:fill="fde4d0" w:themeFill="accent6"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f79646" w:themeColor="accent6" w:sz="8" w:space="0"/>
        </w:tcBorders>
      </w:tcPr>
    </w:tblStylePr>
    <w:tblStylePr w:type="lastCol">
      <w:rPr>
        <w:b/>
        <w:bCs/>
      </w:rPr>
      <w:pPr>
        <w:pBdr/>
        <w:spacing/>
        <w:ind/>
      </w:pPr>
      <w:tblPr>
        <w:tblBorders/>
      </w:tblPr>
      <w:tcPr>
        <w:tcBorders>
          <w:top w:val="single" w:color="f79646" w:themeColor="accent6" w:sz="8" w:space="0"/>
          <w:bottom w:val="single" w:color="f79646" w:themeColor="accent6" w:sz="8" w:space="0"/>
        </w:tcBorders>
      </w:tcPr>
    </w:tblStylePr>
    <w:tblStylePr w:type="lastRow">
      <w:rPr>
        <w:b/>
        <w:bCs/>
        <w:color w:val="1f497d" w:themeColor="text2"/>
      </w:rPr>
      <w:pPr>
        <w:pBdr/>
        <w:spacing/>
        <w:ind/>
      </w:pPr>
      <w:tblPr>
        <w:tblBorders/>
      </w:tblPr>
      <w:tcPr>
        <w:tcBorders>
          <w:top w:val="single" w:color="f79646" w:themeColor="accent6" w:sz="8" w:space="0"/>
          <w:bottom w:val="single" w:color="f79646" w:themeColor="accent6"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6">
    <w:name w:val="Medium List 2"/>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tblBorders>
    </w:tblPr>
    <w:tcPr>
      <w:tcBorders/>
    </w:tcPr>
    <w:tblStylePr w:type="band1Horz">
      <w:pPr>
        <w:pBdr/>
        <w:spacing/>
        <w:ind/>
      </w:pPr>
      <w:tblPr>
        <w:tblBorders/>
      </w:tblPr>
      <w:tcPr>
        <w:shd w:val="clear" w:color="auto" w:fill="c0c0c0" w:themeFill="text1" w:themeFillTint="3F"/>
        <w:tcBorders>
          <w:top w:val="none" w:color="000000" w:sz="4" w:space="0"/>
          <w:bottom w:val="none" w:color="000000" w:sz="4" w:space="0"/>
        </w:tcBorders>
      </w:tcPr>
    </w:tblStylePr>
    <w:tblStylePr w:type="band1Vert">
      <w:pPr>
        <w:pBdr/>
        <w:spacing/>
        <w:ind/>
      </w:pPr>
      <w:tblPr>
        <w:tblBorders/>
      </w:tblPr>
      <w:tcPr>
        <w:shd w:val="clear" w:color="auto" w:fill="c0c0c0" w:themeFill="tex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000000" w:themeColor="text1"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000000" w:themeColor="text1"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000000" w:themeColor="text1"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000000" w:themeColor="text1"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7">
    <w:name w:val="Medium List 2 Accent 1"/>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cPr>
      <w:tcBorders/>
    </w:tcPr>
    <w:tblStylePr w:type="band1Horz">
      <w:pPr>
        <w:pBdr/>
        <w:spacing/>
        <w:ind/>
      </w:pPr>
      <w:tblPr>
        <w:tblBorders/>
      </w:tblPr>
      <w:tcPr>
        <w:shd w:val="clear" w:color="auto" w:fill="d3dfee" w:themeFill="accent1" w:themeFillTint="3F"/>
        <w:tcBorders>
          <w:top w:val="none" w:color="000000" w:sz="4" w:space="0"/>
          <w:bottom w:val="none" w:color="000000" w:sz="4" w:space="0"/>
        </w:tcBorders>
      </w:tcPr>
    </w:tblStylePr>
    <w:tblStylePr w:type="band1Vert">
      <w:pPr>
        <w:pBdr/>
        <w:spacing/>
        <w:ind/>
      </w:pPr>
      <w:tblPr>
        <w:tblBorders/>
      </w:tblPr>
      <w:tcPr>
        <w:shd w:val="clear" w:color="auto" w:fill="d3dfee" w:themeFill="accen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4f81bd" w:themeColor="accent1"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4f81bd" w:themeColor="accent1"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4f81bd" w:themeColor="accent1"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4f81bd" w:themeColor="accent1"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8">
    <w:name w:val="Medium List 2 Accent 2"/>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cPr>
      <w:tcBorders/>
    </w:tcPr>
    <w:tblStylePr w:type="band1Horz">
      <w:pPr>
        <w:pBdr/>
        <w:spacing/>
        <w:ind/>
      </w:pPr>
      <w:tblPr>
        <w:tblBorders/>
      </w:tblPr>
      <w:tcPr>
        <w:shd w:val="clear" w:color="auto" w:fill="efd3d2" w:themeFill="accent2" w:themeFillTint="3F"/>
        <w:tcBorders>
          <w:top w:val="none" w:color="000000" w:sz="4" w:space="0"/>
          <w:bottom w:val="none" w:color="000000" w:sz="4" w:space="0"/>
        </w:tcBorders>
      </w:tcPr>
    </w:tblStylePr>
    <w:tblStylePr w:type="band1Vert">
      <w:pPr>
        <w:pBdr/>
        <w:spacing/>
        <w:ind/>
      </w:pPr>
      <w:tblPr>
        <w:tblBorders/>
      </w:tblPr>
      <w:tcPr>
        <w:shd w:val="clear" w:color="auto" w:fill="efd3d2" w:themeFill="accent2"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c0504d" w:themeColor="accent2"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c0504d" w:themeColor="accent2"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c0504d" w:themeColor="accent2"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9">
    <w:name w:val="Medium List 2 Accent 3"/>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cPr>
      <w:tcBorders/>
    </w:tcPr>
    <w:tblStylePr w:type="band1Horz">
      <w:pPr>
        <w:pBdr/>
        <w:spacing/>
        <w:ind/>
      </w:pPr>
      <w:tblPr>
        <w:tblBorders/>
      </w:tblPr>
      <w:tcPr>
        <w:shd w:val="clear" w:color="auto" w:fill="e6eed5" w:themeFill="accent3" w:themeFillTint="3F"/>
        <w:tcBorders>
          <w:top w:val="none" w:color="000000" w:sz="4" w:space="0"/>
          <w:bottom w:val="none" w:color="000000" w:sz="4" w:space="0"/>
        </w:tcBorders>
      </w:tcPr>
    </w:tblStylePr>
    <w:tblStylePr w:type="band1Vert">
      <w:pPr>
        <w:pBdr/>
        <w:spacing/>
        <w:ind/>
      </w:pPr>
      <w:tblPr>
        <w:tblBorders/>
      </w:tblPr>
      <w:tcPr>
        <w:shd w:val="clear" w:color="auto" w:fill="e6eed5" w:themeFill="accent3"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9bbb59" w:themeColor="accent3"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9bbb59" w:themeColor="accent3"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9bbb59" w:themeColor="accent3"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9bbb59" w:themeColor="accent3"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0">
    <w:name w:val="Medium List 2 Accent 4"/>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cPr>
      <w:tcBorders/>
    </w:tcPr>
    <w:tblStylePr w:type="band1Horz">
      <w:pPr>
        <w:pBdr/>
        <w:spacing/>
        <w:ind/>
      </w:pPr>
      <w:tblPr>
        <w:tblBorders/>
      </w:tblPr>
      <w:tcPr>
        <w:shd w:val="clear" w:color="auto" w:fill="dfd8e8" w:themeFill="accent4" w:themeFillTint="3F"/>
        <w:tcBorders>
          <w:top w:val="none" w:color="000000" w:sz="4" w:space="0"/>
          <w:bottom w:val="none" w:color="000000" w:sz="4" w:space="0"/>
        </w:tcBorders>
      </w:tcPr>
    </w:tblStylePr>
    <w:tblStylePr w:type="band1Vert">
      <w:pPr>
        <w:pBdr/>
        <w:spacing/>
        <w:ind/>
      </w:pPr>
      <w:tblPr>
        <w:tblBorders/>
      </w:tblPr>
      <w:tcPr>
        <w:shd w:val="clear" w:color="auto" w:fill="dfd8e8" w:themeFill="accent4"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8064a2" w:themeColor="accent4"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8064a2" w:themeColor="accent4"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8064a2" w:themeColor="accent4"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8064a2" w:themeColor="accent4"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1">
    <w:name w:val="Medium List 2 Accent 5"/>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cPr>
      <w:tcBorders/>
    </w:tcPr>
    <w:tblStylePr w:type="band1Horz">
      <w:pPr>
        <w:pBdr/>
        <w:spacing/>
        <w:ind/>
      </w:pPr>
      <w:tblPr>
        <w:tblBorders/>
      </w:tblPr>
      <w:tcPr>
        <w:shd w:val="clear" w:color="auto" w:fill="d2eaf1" w:themeFill="accent5" w:themeFillTint="3F"/>
        <w:tcBorders>
          <w:top w:val="none" w:color="000000" w:sz="4" w:space="0"/>
          <w:bottom w:val="none" w:color="000000" w:sz="4" w:space="0"/>
        </w:tcBorders>
      </w:tcPr>
    </w:tblStylePr>
    <w:tblStylePr w:type="band1Vert">
      <w:pPr>
        <w:pBdr/>
        <w:spacing/>
        <w:ind/>
      </w:pPr>
      <w:tblPr>
        <w:tblBorders/>
      </w:tblPr>
      <w:tcPr>
        <w:shd w:val="clear" w:color="auto" w:fill="d2eaf1" w:themeFill="accent5"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4bacc6" w:themeColor="accent5"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4bacc6" w:themeColor="accent5"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4bacc6" w:themeColor="accent5"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4bacc6" w:themeColor="accent5"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2">
    <w:name w:val="Medium List 2 Accent 6"/>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cPr>
      <w:tcBorders/>
    </w:tcPr>
    <w:tblStylePr w:type="band1Horz">
      <w:pPr>
        <w:pBdr/>
        <w:spacing/>
        <w:ind/>
      </w:pPr>
      <w:tblPr>
        <w:tblBorders/>
      </w:tblPr>
      <w:tcPr>
        <w:shd w:val="clear" w:color="auto" w:fill="fde4d0" w:themeFill="accent6" w:themeFillTint="3F"/>
        <w:tcBorders>
          <w:top w:val="none" w:color="000000" w:sz="4" w:space="0"/>
          <w:bottom w:val="none" w:color="000000" w:sz="4" w:space="0"/>
        </w:tcBorders>
      </w:tcPr>
    </w:tblStylePr>
    <w:tblStylePr w:type="band1Vert">
      <w:pPr>
        <w:pBdr/>
        <w:spacing/>
        <w:ind/>
      </w:pPr>
      <w:tblPr>
        <w:tblBorders/>
      </w:tblPr>
      <w:tcPr>
        <w:shd w:val="clear" w:color="auto" w:fill="fde4d0" w:themeFill="accent6"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f79646" w:themeColor="accent6"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f79646" w:themeColor="accent6"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f79646" w:themeColor="accent6"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f79646" w:themeColor="accent6"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3">
    <w:name w:val="Medium Grid 1"/>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808080" w:themeFill="tex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404040" w:themeColor="text1"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4">
    <w:name w:val="Medium Grid 1 Accent 1"/>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a7bfde" w:themeFill="accen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7ba0cd" w:themeColor="accent1"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5">
    <w:name w:val="Medium Grid 1 Accent 2"/>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dfa7a6" w:themeFill="accent2"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cf7b79" w:themeColor="accent2"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6">
    <w:name w:val="Medium Grid 1 Accent 3"/>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cdddac" w:themeFill="accent3"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b3cc82" w:themeColor="accent3"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7">
    <w:name w:val="Medium Grid 1 Accent 4"/>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bfb1d0" w:themeFill="accent4"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9f8ab9" w:themeColor="accent4"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8">
    <w:name w:val="Medium Grid 1 Accent 5"/>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a5d5e2" w:themeFill="accent5"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78c0d4" w:themeColor="accent5"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9">
    <w:name w:val="Medium Grid 1 Accent 6"/>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caa2" w:themeFill="accent6"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f9b074" w:themeColor="accent6"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0">
    <w:name w:val="Medium Grid 2"/>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808080" w:themeFill="tex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e6e6e6" w:themeFill="text1" w:themeFillTint="19"/>
        <w:tcBorders/>
      </w:tcPr>
    </w:tblStylePr>
    <w:tblStylePr w:type="lastCol">
      <w:rPr>
        <w:b w:val="0"/>
        <w:bCs w:val="0"/>
        <w:color w:val="000000" w:themeColor="text1"/>
      </w:rPr>
      <w:pPr>
        <w:pBdr/>
        <w:spacing/>
        <w:ind/>
      </w:pPr>
      <w:tblPr>
        <w:tblBorders/>
      </w:tblPr>
      <w:tcPr>
        <w:shd w:val="clear" w:color="auto" w:fill="cccccc" w:themeFill="text1"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1">
    <w:name w:val="Medium Grid 2 Accent 1"/>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a7bfde" w:themeFill="accen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edf2f8" w:themeFill="accent1" w:themeFillTint="19"/>
        <w:tcBorders/>
      </w:tcPr>
    </w:tblStylePr>
    <w:tblStylePr w:type="lastCol">
      <w:rPr>
        <w:b w:val="0"/>
        <w:bCs w:val="0"/>
        <w:color w:val="000000" w:themeColor="text1"/>
      </w:rPr>
      <w:pPr>
        <w:pBdr/>
        <w:spacing/>
        <w:ind/>
      </w:pPr>
      <w:tblPr>
        <w:tblBorders/>
      </w:tblPr>
      <w:tcPr>
        <w:shd w:val="clear" w:color="auto" w:fill="dbe5f1" w:themeFill="accent1"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2">
    <w:name w:val="Medium Grid 2 Accent 2"/>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dfa7a6" w:themeFill="accent2"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8eded" w:themeFill="accent2" w:themeFillTint="19"/>
        <w:tcBorders/>
      </w:tcPr>
    </w:tblStylePr>
    <w:tblStylePr w:type="lastCol">
      <w:rPr>
        <w:b w:val="0"/>
        <w:bCs w:val="0"/>
        <w:color w:val="000000" w:themeColor="text1"/>
      </w:rPr>
      <w:pPr>
        <w:pBdr/>
        <w:spacing/>
        <w:ind/>
      </w:pPr>
      <w:tblPr>
        <w:tblBorders/>
      </w:tblPr>
      <w:tcPr>
        <w:shd w:val="clear" w:color="auto" w:fill="f2dbdb" w:themeFill="accent2"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3">
    <w:name w:val="Medium Grid 2 Accent 3"/>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cdddac" w:themeFill="accent3"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5f8ee" w:themeFill="accent3" w:themeFillTint="19"/>
        <w:tcBorders/>
      </w:tcPr>
    </w:tblStylePr>
    <w:tblStylePr w:type="lastCol">
      <w:rPr>
        <w:b w:val="0"/>
        <w:bCs w:val="0"/>
        <w:color w:val="000000" w:themeColor="text1"/>
      </w:rPr>
      <w:pPr>
        <w:pBdr/>
        <w:spacing/>
        <w:ind/>
      </w:pPr>
      <w:tblPr>
        <w:tblBorders/>
      </w:tblPr>
      <w:tcPr>
        <w:shd w:val="clear" w:color="auto" w:fill="eaf1dd" w:themeFill="accent3"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4">
    <w:name w:val="Medium Grid 2 Accent 4"/>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bfb1d0" w:themeFill="accent4"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2eff6" w:themeFill="accent4" w:themeFillTint="19"/>
        <w:tcBorders/>
      </w:tcPr>
    </w:tblStylePr>
    <w:tblStylePr w:type="lastCol">
      <w:rPr>
        <w:b w:val="0"/>
        <w:bCs w:val="0"/>
        <w:color w:val="000000" w:themeColor="text1"/>
      </w:rPr>
      <w:pPr>
        <w:pBdr/>
        <w:spacing/>
        <w:ind/>
      </w:pPr>
      <w:tblPr>
        <w:tblBorders/>
      </w:tblPr>
      <w:tcPr>
        <w:shd w:val="clear" w:color="auto" w:fill="e5dfec" w:themeFill="accent4"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5">
    <w:name w:val="Medium Grid 2 Accent 5"/>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a5d5e2" w:themeFill="accent5"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edf6f9" w:themeFill="accent5" w:themeFillTint="19"/>
        <w:tcBorders/>
      </w:tcPr>
    </w:tblStylePr>
    <w:tblStylePr w:type="lastCol">
      <w:rPr>
        <w:b w:val="0"/>
        <w:bCs w:val="0"/>
        <w:color w:val="000000" w:themeColor="text1"/>
      </w:rPr>
      <w:pPr>
        <w:pBdr/>
        <w:spacing/>
        <w:ind/>
      </w:pPr>
      <w:tblPr>
        <w:tblBorders/>
      </w:tblPr>
      <w:tcPr>
        <w:shd w:val="clear" w:color="auto" w:fill="daeef3" w:themeFill="accent5"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6">
    <w:name w:val="Medium Grid 2 Accent 6"/>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caa2" w:themeFill="accent6"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ef4ec" w:themeFill="accent6" w:themeFillTint="19"/>
        <w:tcBorders/>
      </w:tcPr>
    </w:tblStylePr>
    <w:tblStylePr w:type="lastCol">
      <w:rPr>
        <w:b w:val="0"/>
        <w:bCs w:val="0"/>
        <w:color w:val="000000" w:themeColor="text1"/>
      </w:rPr>
      <w:pPr>
        <w:pBdr/>
        <w:spacing/>
        <w:ind/>
      </w:pPr>
      <w:tblPr>
        <w:tblBorders/>
      </w:tblPr>
      <w:tcPr>
        <w:shd w:val="clear" w:color="auto" w:fill="fde9d9" w:themeFill="accent6"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7">
    <w:name w:val="Medium Grid 3"/>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Borders/>
    </w:tcPr>
    <w:tblStylePr w:type="band1Horz">
      <w:pPr>
        <w:pBdr/>
        <w:spacing/>
        <w:ind/>
      </w:pPr>
      <w:tblPr>
        <w:tblBorders/>
      </w:tblPr>
      <w:tcPr>
        <w:shd w:val="clear" w:color="auto" w:fill="808080" w:themeFill="tex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808080" w:themeFill="tex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000000" w:themeFill="text1"/>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000000" w:themeFill="text1"/>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000000" w:themeFill="text1"/>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000000" w:themeFill="text1"/>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8">
    <w:name w:val="Medium Grid 3 Accent 1"/>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Borders/>
    </w:tcPr>
    <w:tblStylePr w:type="band1Horz">
      <w:pPr>
        <w:pBdr/>
        <w:spacing/>
        <w:ind/>
      </w:pPr>
      <w:tblPr>
        <w:tblBorders/>
      </w:tblPr>
      <w:tcPr>
        <w:shd w:val="clear" w:color="auto" w:fill="a7bfde" w:themeFill="accen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a7bfde" w:themeFill="accen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4f81bd" w:themeFill="accent1"/>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4f81bd" w:themeFill="accent1"/>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4f81bd" w:themeFill="accent1"/>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4f81bd" w:themeFill="accent1"/>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9">
    <w:name w:val="Medium Grid 3 Accent 2"/>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Borders/>
    </w:tcPr>
    <w:tblStylePr w:type="band1Horz">
      <w:pPr>
        <w:pBdr/>
        <w:spacing/>
        <w:ind/>
      </w:pPr>
      <w:tblPr>
        <w:tblBorders/>
      </w:tblPr>
      <w:tcPr>
        <w:shd w:val="clear" w:color="auto" w:fill="dfa7a6" w:themeFill="accent2"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dfa7a6" w:themeFill="accent2"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c0504d" w:themeFill="accent2"/>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c0504d" w:themeFill="accent2"/>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c0504d" w:themeFill="accent2"/>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c0504d" w:themeFill="accent2"/>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0">
    <w:name w:val="Medium Grid 3 Accent 3"/>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Borders/>
    </w:tcPr>
    <w:tblStylePr w:type="band1Horz">
      <w:pPr>
        <w:pBdr/>
        <w:spacing/>
        <w:ind/>
      </w:pPr>
      <w:tblPr>
        <w:tblBorders/>
      </w:tblPr>
      <w:tcPr>
        <w:shd w:val="clear" w:color="auto" w:fill="cdddac" w:themeFill="accent3"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cdddac" w:themeFill="accent3"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9bbb59" w:themeFill="accent3"/>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9bbb59" w:themeFill="accent3"/>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9bbb59" w:themeFill="accent3"/>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9bbb59" w:themeFill="accent3"/>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1">
    <w:name w:val="Medium Grid 3 Accent 4"/>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Borders/>
    </w:tcPr>
    <w:tblStylePr w:type="band1Horz">
      <w:pPr>
        <w:pBdr/>
        <w:spacing/>
        <w:ind/>
      </w:pPr>
      <w:tblPr>
        <w:tblBorders/>
      </w:tblPr>
      <w:tcPr>
        <w:shd w:val="clear" w:color="auto" w:fill="bfb1d0" w:themeFill="accent4"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bfb1d0" w:themeFill="accent4"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8064a2" w:themeFill="accent4"/>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8064a2" w:themeFill="accent4"/>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8064a2" w:themeFill="accent4"/>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8064a2" w:themeFill="accent4"/>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2">
    <w:name w:val="Medium Grid 3 Accent 5"/>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Borders/>
    </w:tcPr>
    <w:tblStylePr w:type="band1Horz">
      <w:pPr>
        <w:pBdr/>
        <w:spacing/>
        <w:ind/>
      </w:pPr>
      <w:tblPr>
        <w:tblBorders/>
      </w:tblPr>
      <w:tcPr>
        <w:shd w:val="clear" w:color="auto" w:fill="a5d5e2" w:themeFill="accent5"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a5d5e2" w:themeFill="accent5"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4bacc6" w:themeFill="accent5"/>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4bacc6" w:themeFill="accent5"/>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4bacc6" w:themeFill="accent5"/>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4bacc6" w:themeFill="accent5"/>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3">
    <w:name w:val="Medium Grid 3 Accent 6"/>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Borders/>
    </w:tcPr>
    <w:tblStylePr w:type="band1Horz">
      <w:pPr>
        <w:pBdr/>
        <w:spacing/>
        <w:ind/>
      </w:pPr>
      <w:tblPr>
        <w:tblBorders/>
      </w:tblPr>
      <w:tcPr>
        <w:shd w:val="clear" w:color="auto" w:fill="fbcaa2" w:themeFill="accent6"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fbcaa2" w:themeFill="accent6"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f79646" w:themeFill="accent6"/>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f79646" w:themeFill="accent6"/>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f79646" w:themeFill="accent6"/>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f79646" w:themeFill="accent6"/>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4">
    <w:name w:val="Dark List"/>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000000" w:themeFill="text1"/>
      <w:tcBorders/>
    </w:tcPr>
    <w:tblStylePr w:type="band1Horz">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000000" w:themeFill="text1"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000000" w:themeFill="text1"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5">
    <w:name w:val="Dark List Accent 1"/>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4f81bd" w:themeFill="accent1"/>
      <w:tcBorders/>
    </w:tcPr>
    <w:tblStylePr w:type="band1Horz">
      <w:pPr>
        <w:pBdr/>
        <w:spacing/>
        <w:ind/>
      </w:pPr>
      <w:tblPr>
        <w:tblBorders/>
      </w:tblPr>
      <w:tcPr>
        <w:shd w:val="clear" w:color="auto" w:fill="365f91" w:themeFill="accent1"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365f91" w:themeFill="accent1"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365f91" w:themeFill="accent1"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365f91" w:themeFill="accent1"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243f60" w:themeFill="accent1"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6">
    <w:name w:val="Dark List Accent 2"/>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c0504d" w:themeFill="accent2"/>
      <w:tcBorders/>
    </w:tcPr>
    <w:tblStylePr w:type="band1Horz">
      <w:pPr>
        <w:pBdr/>
        <w:spacing/>
        <w:ind/>
      </w:pPr>
      <w:tblPr>
        <w:tblBorders/>
      </w:tblPr>
      <w:tcPr>
        <w:shd w:val="clear" w:color="auto" w:fill="943634" w:themeFill="accent2"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943634" w:themeFill="accent2"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943634" w:themeFill="accent2"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943634" w:themeFill="accent2"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622423" w:themeFill="accent2"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7">
    <w:name w:val="Dark List Accent 3"/>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9bbb59" w:themeFill="accent3"/>
      <w:tcBorders/>
    </w:tcPr>
    <w:tblStylePr w:type="band1Horz">
      <w:pPr>
        <w:pBdr/>
        <w:spacing/>
        <w:ind/>
      </w:pPr>
      <w:tblPr>
        <w:tblBorders/>
      </w:tblPr>
      <w:tcPr>
        <w:shd w:val="clear" w:color="auto" w:fill="76923c" w:themeFill="accent3"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76923c" w:themeFill="accent3"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76923c" w:themeFill="accent3"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76923c" w:themeFill="accent3"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4e6128" w:themeFill="accent3"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8">
    <w:name w:val="Dark List Accent 4"/>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8064a2" w:themeFill="accent4"/>
      <w:tcBorders/>
    </w:tcPr>
    <w:tblStylePr w:type="band1Horz">
      <w:pPr>
        <w:pBdr/>
        <w:spacing/>
        <w:ind/>
      </w:pPr>
      <w:tblPr>
        <w:tblBorders/>
      </w:tblPr>
      <w:tcPr>
        <w:shd w:val="clear" w:color="auto" w:fill="5f497a" w:themeFill="accent4"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5f497a" w:themeFill="accent4"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5f497a" w:themeFill="accent4"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5f497a" w:themeFill="accent4"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3f3151" w:themeFill="accent4"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9">
    <w:name w:val="Dark List Accent 5"/>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4bacc6" w:themeFill="accent5"/>
      <w:tcBorders/>
    </w:tcPr>
    <w:tblStylePr w:type="band1Horz">
      <w:pPr>
        <w:pBdr/>
        <w:spacing/>
        <w:ind/>
      </w:pPr>
      <w:tblPr>
        <w:tblBorders/>
      </w:tblPr>
      <w:tcPr>
        <w:shd w:val="clear" w:color="auto" w:fill="31849b" w:themeFill="accent5"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31849b" w:themeFill="accent5"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31849b" w:themeFill="accent5"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31849b" w:themeFill="accent5"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205867" w:themeFill="accent5"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0">
    <w:name w:val="Dark List Accent 6"/>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f79646" w:themeFill="accent6"/>
      <w:tcBorders/>
    </w:tcPr>
    <w:tblStylePr w:type="band1Horz">
      <w:pPr>
        <w:pBdr/>
        <w:spacing/>
        <w:ind/>
      </w:pPr>
      <w:tblPr>
        <w:tblBorders/>
      </w:tblPr>
      <w:tcPr>
        <w:shd w:val="clear" w:color="auto" w:fill="e36c0a" w:themeFill="accent6"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e36c0a" w:themeFill="accent6"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e36c0a" w:themeFill="accent6"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e36c0a" w:themeFill="accent6"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974706" w:themeFill="accent6"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1">
    <w:name w:val="Colorful Shading"/>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999999" w:themeFill="text1"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000000" w:themeFill="text1"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rPr>
        <w:color w:val="ffffff" w:themeColor="background1"/>
      </w:rPr>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000000" w:themeFill="text1"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2">
    <w:name w:val="Colorful Shading Accent 1"/>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b8cce4" w:themeFill="accent1"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2c4c74" w:themeFill="accent1"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rPr>
        <w:color w:val="ffffff" w:themeColor="background1"/>
      </w:rPr>
      <w:pPr>
        <w:pBdr/>
        <w:spacing/>
        <w:ind/>
      </w:pPr>
      <w:tblPr>
        <w:tblBorders/>
      </w:tblPr>
      <w:tcPr>
        <w:shd w:val="clear" w:color="auto" w:fill="2c4c74" w:themeFill="accent1"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2c4c74" w:themeFill="accent1"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3">
    <w:name w:val="Colorful Shading Accent 2"/>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e5b8b7" w:themeFill="accent2"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772c2a" w:themeFill="accent2"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rPr>
        <w:color w:val="ffffff" w:themeColor="background1"/>
      </w:rPr>
      <w:pPr>
        <w:pBdr/>
        <w:spacing/>
        <w:ind/>
      </w:pPr>
      <w:tblPr>
        <w:tblBorders/>
      </w:tblPr>
      <w:tcPr>
        <w:shd w:val="clear" w:color="auto" w:fill="772c2a" w:themeFill="accent2"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772c2a" w:themeFill="accent2"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4">
    <w:name w:val="Colorful Shading Accent 3"/>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d6e3bc" w:themeFill="accent3"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5e7530" w:themeFill="accent3"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8064a2" w:themeColor="accent4" w:sz="24" w:space="0"/>
          <w:right w:val="none" w:color="000000" w:sz="4" w:space="0"/>
        </w:tcBorders>
      </w:tcPr>
    </w:tblStylePr>
    <w:tblStylePr w:type="lastCol">
      <w:rPr>
        <w:color w:val="ffffff" w:themeColor="background1"/>
      </w:rPr>
      <w:pPr>
        <w:pBdr/>
        <w:spacing/>
        <w:ind/>
      </w:pPr>
      <w:tblPr>
        <w:tblBorders/>
      </w:tblPr>
      <w:tcPr>
        <w:shd w:val="clear" w:color="auto" w:fill="5e7530" w:themeFill="accent3"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5e7530" w:themeFill="accent3" w:themeFillShade="99"/>
        <w:tcBorders>
          <w:top w:val="single" w:color="ffffff" w:themeColor="background1" w:sz="6"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5">
    <w:name w:val="Colorful Shading Accent 4"/>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ccc0d9" w:themeFill="accent4"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4c3b62" w:themeFill="accent4"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9bbb59" w:themeColor="accent3" w:sz="24" w:space="0"/>
          <w:right w:val="none" w:color="000000" w:sz="4" w:space="0"/>
        </w:tcBorders>
      </w:tcPr>
    </w:tblStylePr>
    <w:tblStylePr w:type="lastCol">
      <w:rPr>
        <w:color w:val="ffffff" w:themeColor="background1"/>
      </w:rPr>
      <w:pPr>
        <w:pBdr/>
        <w:spacing/>
        <w:ind/>
      </w:pPr>
      <w:tblPr>
        <w:tblBorders/>
      </w:tblPr>
      <w:tcPr>
        <w:shd w:val="clear" w:color="auto" w:fill="4c3b62" w:themeFill="accent4"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4c3b62" w:themeFill="accent4"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6">
    <w:name w:val="Colorful Shading Accent 5"/>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b6dde8" w:themeFill="accent5"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276a7c" w:themeFill="accent5"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f79646" w:themeColor="accent6" w:sz="24" w:space="0"/>
          <w:right w:val="none" w:color="000000" w:sz="4" w:space="0"/>
        </w:tcBorders>
      </w:tcPr>
    </w:tblStylePr>
    <w:tblStylePr w:type="lastCol">
      <w:rPr>
        <w:color w:val="ffffff" w:themeColor="background1"/>
      </w:rPr>
      <w:pPr>
        <w:pBdr/>
        <w:spacing/>
        <w:ind/>
      </w:pPr>
      <w:tblPr>
        <w:tblBorders/>
      </w:tblPr>
      <w:tcPr>
        <w:shd w:val="clear" w:color="auto" w:fill="276a7c" w:themeFill="accent5"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276a7c" w:themeFill="accent5"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7">
    <w:name w:val="Colorful Shading Accent 6"/>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d4b4" w:themeFill="accent6"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b65608" w:themeFill="accent6"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4bacc6" w:themeColor="accent5" w:sz="24" w:space="0"/>
          <w:right w:val="none" w:color="000000" w:sz="4" w:space="0"/>
        </w:tcBorders>
      </w:tcPr>
    </w:tblStylePr>
    <w:tblStylePr w:type="lastCol">
      <w:rPr>
        <w:color w:val="ffffff" w:themeColor="background1"/>
      </w:rPr>
      <w:pPr>
        <w:pBdr/>
        <w:spacing/>
        <w:ind/>
      </w:pPr>
      <w:tblPr>
        <w:tblBorders/>
      </w:tblPr>
      <w:tcPr>
        <w:shd w:val="clear" w:color="auto" w:fill="b65608" w:themeFill="accent6"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b65608" w:themeFill="accent6"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8">
    <w:name w:val="Colorful List"/>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e6e6e6" w:themeFill="text1" w:themeFillTint="19"/>
      <w:tcBorders/>
    </w:tcPr>
    <w:tblStylePr w:type="band1Horz">
      <w:pPr>
        <w:pBdr/>
        <w:spacing/>
        <w:ind/>
      </w:pPr>
      <w:tblPr>
        <w:tblBorders/>
      </w:tblPr>
      <w:tcPr>
        <w:shd w:val="clear" w:color="auto" w:fill="cccccc" w:themeFill="text1" w:themeFillTint="33"/>
        <w:tcBorders/>
      </w:tcPr>
    </w:tblStylePr>
    <w:tblStylePr w:type="band1Vert">
      <w:pPr>
        <w:pBdr/>
        <w:spacing/>
        <w:ind/>
      </w:pPr>
      <w:tblPr>
        <w:tblBorders/>
      </w:tblPr>
      <w:tcPr>
        <w:shd w:val="clear" w:color="auto" w:fill="c0c0c0" w:themeFill="text1"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9e3a38" w:themeFill="accent2"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9e3a38" w:themeColor="accent2"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9">
    <w:name w:val="Colorful List Accent 1"/>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edf2f8" w:themeFill="accent1" w:themeFillTint="19"/>
      <w:tcBorders/>
    </w:tcPr>
    <w:tblStylePr w:type="band1Horz">
      <w:pPr>
        <w:pBdr/>
        <w:spacing/>
        <w:ind/>
      </w:pPr>
      <w:tblPr>
        <w:tblBorders/>
      </w:tblPr>
      <w:tcPr>
        <w:shd w:val="clear" w:color="auto" w:fill="dbe5f1" w:themeFill="accent1" w:themeFillTint="33"/>
        <w:tcBorders/>
      </w:tcPr>
    </w:tblStylePr>
    <w:tblStylePr w:type="band1Vert">
      <w:pPr>
        <w:pBdr/>
        <w:spacing/>
        <w:ind/>
      </w:pPr>
      <w:tblPr>
        <w:tblBorders/>
      </w:tblPr>
      <w:tcPr>
        <w:shd w:val="clear" w:color="auto" w:fill="d3dfee" w:themeFill="accent1"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9e3a38" w:themeFill="accent2"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9e3a38" w:themeColor="accent2"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0">
    <w:name w:val="Colorful List Accent 2"/>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8eded" w:themeFill="accent2" w:themeFillTint="19"/>
      <w:tcBorders/>
    </w:tcPr>
    <w:tblStylePr w:type="band1Horz">
      <w:pPr>
        <w:pBdr/>
        <w:spacing/>
        <w:ind/>
      </w:pPr>
      <w:tblPr>
        <w:tblBorders/>
      </w:tblPr>
      <w:tcPr>
        <w:shd w:val="clear" w:color="auto" w:fill="f2dbdb" w:themeFill="accent2" w:themeFillTint="33"/>
        <w:tcBorders/>
      </w:tcPr>
    </w:tblStylePr>
    <w:tblStylePr w:type="band1Vert">
      <w:pPr>
        <w:pBdr/>
        <w:spacing/>
        <w:ind/>
      </w:pPr>
      <w:tblPr>
        <w:tblBorders/>
      </w:tblPr>
      <w:tcPr>
        <w:shd w:val="clear" w:color="auto" w:fill="efd3d2" w:themeFill="accent2"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9e3a38" w:themeFill="accent2"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9e3a38" w:themeColor="accent2"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1">
    <w:name w:val="Colorful List Accent 3"/>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5f8ee" w:themeFill="accent3" w:themeFillTint="19"/>
      <w:tcBorders/>
    </w:tcPr>
    <w:tblStylePr w:type="band1Horz">
      <w:pPr>
        <w:pBdr/>
        <w:spacing/>
        <w:ind/>
      </w:pPr>
      <w:tblPr>
        <w:tblBorders/>
      </w:tblPr>
      <w:tcPr>
        <w:shd w:val="clear" w:color="auto" w:fill="eaf1dd" w:themeFill="accent3" w:themeFillTint="33"/>
        <w:tcBorders/>
      </w:tcPr>
    </w:tblStylePr>
    <w:tblStylePr w:type="band1Vert">
      <w:pPr>
        <w:pBdr/>
        <w:spacing/>
        <w:ind/>
      </w:pPr>
      <w:tblPr>
        <w:tblBorders/>
      </w:tblPr>
      <w:tcPr>
        <w:shd w:val="clear" w:color="auto" w:fill="e6eed5" w:themeFill="accent3"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664e82" w:themeFill="accent4"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664e82" w:themeColor="accent4"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2">
    <w:name w:val="Colorful List Accent 4"/>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2eff6" w:themeFill="accent4" w:themeFillTint="19"/>
      <w:tcBorders/>
    </w:tcPr>
    <w:tblStylePr w:type="band1Horz">
      <w:pPr>
        <w:pBdr/>
        <w:spacing/>
        <w:ind/>
      </w:pPr>
      <w:tblPr>
        <w:tblBorders/>
      </w:tblPr>
      <w:tcPr>
        <w:shd w:val="clear" w:color="auto" w:fill="e5dfec" w:themeFill="accent4" w:themeFillTint="33"/>
        <w:tcBorders/>
      </w:tcPr>
    </w:tblStylePr>
    <w:tblStylePr w:type="band1Vert">
      <w:pPr>
        <w:pBdr/>
        <w:spacing/>
        <w:ind/>
      </w:pPr>
      <w:tblPr>
        <w:tblBorders/>
      </w:tblPr>
      <w:tcPr>
        <w:shd w:val="clear" w:color="auto" w:fill="dfd8e8" w:themeFill="accent4"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7e9c40" w:themeFill="accent3"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7e9c40" w:themeColor="accent3"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3">
    <w:name w:val="Colorful List Accent 5"/>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edf6f9" w:themeFill="accent5" w:themeFillTint="19"/>
      <w:tcBorders/>
    </w:tcPr>
    <w:tblStylePr w:type="band1Horz">
      <w:pPr>
        <w:pBdr/>
        <w:spacing/>
        <w:ind/>
      </w:pPr>
      <w:tblPr>
        <w:tblBorders/>
      </w:tblPr>
      <w:tcPr>
        <w:shd w:val="clear" w:color="auto" w:fill="daeef3" w:themeFill="accent5" w:themeFillTint="33"/>
        <w:tcBorders/>
      </w:tcPr>
    </w:tblStylePr>
    <w:tblStylePr w:type="band1Vert">
      <w:pPr>
        <w:pBdr/>
        <w:spacing/>
        <w:ind/>
      </w:pPr>
      <w:tblPr>
        <w:tblBorders/>
      </w:tblPr>
      <w:tcPr>
        <w:shd w:val="clear" w:color="auto" w:fill="d2eaf1" w:themeFill="accent5"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f2730a" w:themeFill="accent6"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f2730a" w:themeColor="accent6"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4">
    <w:name w:val="Colorful List Accent 6"/>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ef4ec" w:themeFill="accent6" w:themeFillTint="19"/>
      <w:tcBorders/>
    </w:tcPr>
    <w:tblStylePr w:type="band1Horz">
      <w:pPr>
        <w:pBdr/>
        <w:spacing/>
        <w:ind/>
      </w:pPr>
      <w:tblPr>
        <w:tblBorders/>
      </w:tblPr>
      <w:tcPr>
        <w:shd w:val="clear" w:color="auto" w:fill="fde9d9" w:themeFill="accent6" w:themeFillTint="33"/>
        <w:tcBorders/>
      </w:tcPr>
    </w:tblStylePr>
    <w:tblStylePr w:type="band1Vert">
      <w:pPr>
        <w:pBdr/>
        <w:spacing/>
        <w:ind/>
      </w:pPr>
      <w:tblPr>
        <w:tblBorders/>
      </w:tblPr>
      <w:tcPr>
        <w:shd w:val="clear" w:color="auto" w:fill="fde4d0" w:themeFill="accent6"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348da5" w:themeFill="accent5"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348da5" w:themeColor="accent5"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5">
    <w:name w:val="Colorful Grid"/>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cccccc" w:themeFill="text1" w:themeFillTint="33"/>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808080" w:themeFill="tex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000000" w:themeFill="text1" w:themeFillShade="BF"/>
        <w:tcBorders/>
      </w:tcPr>
    </w:tblStylePr>
    <w:tblStylePr w:type="firstRow">
      <w:rPr>
        <w:b/>
        <w:bCs/>
      </w:rPr>
      <w:pPr>
        <w:pBdr/>
        <w:spacing/>
        <w:ind/>
      </w:pPr>
      <w:tblPr>
        <w:tblBorders/>
      </w:tblPr>
      <w:tcPr>
        <w:shd w:val="clear" w:color="auto" w:fill="999999" w:themeFill="text1" w:themeFillTint="66"/>
        <w:tcBorders/>
      </w:tcPr>
    </w:tblStylePr>
    <w:tblStylePr w:type="lastCol">
      <w:rPr>
        <w:color w:val="ffffff" w:themeColor="background1"/>
      </w:rPr>
      <w:pPr>
        <w:pBdr/>
        <w:spacing/>
        <w:ind/>
      </w:pPr>
      <w:tblPr>
        <w:tblBorders/>
      </w:tblPr>
      <w:tcPr>
        <w:shd w:val="clear" w:color="auto" w:fill="000000" w:themeFill="text1" w:themeFillShade="BF"/>
        <w:tcBorders/>
      </w:tcPr>
    </w:tblStylePr>
    <w:tblStylePr w:type="lastRow">
      <w:rPr>
        <w:b/>
        <w:bCs/>
        <w:color w:val="000000" w:themeColor="text1"/>
      </w:rPr>
      <w:pPr>
        <w:pBdr/>
        <w:spacing/>
        <w:ind/>
      </w:pPr>
      <w:tblPr>
        <w:tblBorders/>
      </w:tblPr>
      <w:tcPr>
        <w:shd w:val="clear" w:color="auto" w:fill="999999" w:themeFill="text1"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6">
    <w:name w:val="Colorful Grid Accent 1"/>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dbe5f1" w:themeFill="accent1" w:themeFillTint="33"/>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a7bfde" w:themeFill="accen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365f91" w:themeFill="accent1" w:themeFillShade="BF"/>
        <w:tcBorders/>
      </w:tcPr>
    </w:tblStylePr>
    <w:tblStylePr w:type="firstRow">
      <w:rPr>
        <w:b/>
        <w:bCs/>
      </w:rPr>
      <w:pPr>
        <w:pBdr/>
        <w:spacing/>
        <w:ind/>
      </w:pPr>
      <w:tblPr>
        <w:tblBorders/>
      </w:tblPr>
      <w:tcPr>
        <w:shd w:val="clear" w:color="auto" w:fill="b8cce4" w:themeFill="accent1" w:themeFillTint="66"/>
        <w:tcBorders/>
      </w:tcPr>
    </w:tblStylePr>
    <w:tblStylePr w:type="lastCol">
      <w:rPr>
        <w:color w:val="ffffff" w:themeColor="background1"/>
      </w:rPr>
      <w:pPr>
        <w:pBdr/>
        <w:spacing/>
        <w:ind/>
      </w:pPr>
      <w:tblPr>
        <w:tblBorders/>
      </w:tblPr>
      <w:tcPr>
        <w:shd w:val="clear" w:color="auto" w:fill="365f91" w:themeFill="accent1" w:themeFillShade="BF"/>
        <w:tcBorders/>
      </w:tcPr>
    </w:tblStylePr>
    <w:tblStylePr w:type="lastRow">
      <w:rPr>
        <w:b/>
        <w:bCs/>
        <w:color w:val="000000" w:themeColor="text1"/>
      </w:rPr>
      <w:pPr>
        <w:pBdr/>
        <w:spacing/>
        <w:ind/>
      </w:pPr>
      <w:tblPr>
        <w:tblBorders/>
      </w:tblPr>
      <w:tcPr>
        <w:shd w:val="clear" w:color="auto" w:fill="b8cce4" w:themeFill="accent1"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7">
    <w:name w:val="Colorful Grid Accent 2"/>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f2dbdb" w:themeFill="accent2" w:themeFillTint="33"/>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dfa7a6" w:themeFill="accent2"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943634" w:themeFill="accent2" w:themeFillShade="BF"/>
        <w:tcBorders/>
      </w:tcPr>
    </w:tblStylePr>
    <w:tblStylePr w:type="firstRow">
      <w:rPr>
        <w:b/>
        <w:bCs/>
      </w:rPr>
      <w:pPr>
        <w:pBdr/>
        <w:spacing/>
        <w:ind/>
      </w:pPr>
      <w:tblPr>
        <w:tblBorders/>
      </w:tblPr>
      <w:tcPr>
        <w:shd w:val="clear" w:color="auto" w:fill="e5b8b7" w:themeFill="accent2" w:themeFillTint="66"/>
        <w:tcBorders/>
      </w:tcPr>
    </w:tblStylePr>
    <w:tblStylePr w:type="lastCol">
      <w:rPr>
        <w:color w:val="ffffff" w:themeColor="background1"/>
      </w:rPr>
      <w:pPr>
        <w:pBdr/>
        <w:spacing/>
        <w:ind/>
      </w:pPr>
      <w:tblPr>
        <w:tblBorders/>
      </w:tblPr>
      <w:tcPr>
        <w:shd w:val="clear" w:color="auto" w:fill="943634" w:themeFill="accent2" w:themeFillShade="BF"/>
        <w:tcBorders/>
      </w:tcPr>
    </w:tblStylePr>
    <w:tblStylePr w:type="lastRow">
      <w:rPr>
        <w:b/>
        <w:bCs/>
        <w:color w:val="000000" w:themeColor="text1"/>
      </w:rPr>
      <w:pPr>
        <w:pBdr/>
        <w:spacing/>
        <w:ind/>
      </w:pPr>
      <w:tblPr>
        <w:tblBorders/>
      </w:tblPr>
      <w:tcPr>
        <w:shd w:val="clear" w:color="auto" w:fill="e5b8b7" w:themeFill="accent2"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8">
    <w:name w:val="Colorful Grid Accent 3"/>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eaf1dd" w:themeFill="accent3" w:themeFillTint="33"/>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cdddac" w:themeFill="accent3"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76923c" w:themeFill="accent3" w:themeFillShade="BF"/>
        <w:tcBorders/>
      </w:tcPr>
    </w:tblStylePr>
    <w:tblStylePr w:type="firstRow">
      <w:rPr>
        <w:b/>
        <w:bCs/>
      </w:rPr>
      <w:pPr>
        <w:pBdr/>
        <w:spacing/>
        <w:ind/>
      </w:pPr>
      <w:tblPr>
        <w:tblBorders/>
      </w:tblPr>
      <w:tcPr>
        <w:shd w:val="clear" w:color="auto" w:fill="d6e3bc" w:themeFill="accent3" w:themeFillTint="66"/>
        <w:tcBorders/>
      </w:tcPr>
    </w:tblStylePr>
    <w:tblStylePr w:type="lastCol">
      <w:rPr>
        <w:color w:val="ffffff" w:themeColor="background1"/>
      </w:rPr>
      <w:pPr>
        <w:pBdr/>
        <w:spacing/>
        <w:ind/>
      </w:pPr>
      <w:tblPr>
        <w:tblBorders/>
      </w:tblPr>
      <w:tcPr>
        <w:shd w:val="clear" w:color="auto" w:fill="76923c" w:themeFill="accent3" w:themeFillShade="BF"/>
        <w:tcBorders/>
      </w:tcPr>
    </w:tblStylePr>
    <w:tblStylePr w:type="lastRow">
      <w:rPr>
        <w:b/>
        <w:bCs/>
        <w:color w:val="000000" w:themeColor="text1"/>
      </w:rPr>
      <w:pPr>
        <w:pBdr/>
        <w:spacing/>
        <w:ind/>
      </w:pPr>
      <w:tblPr>
        <w:tblBorders/>
      </w:tblPr>
      <w:tcPr>
        <w:shd w:val="clear" w:color="auto" w:fill="d6e3bc" w:themeFill="accent3"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9">
    <w:name w:val="Colorful Grid Accent 4"/>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e5dfec" w:themeFill="accent4" w:themeFillTint="33"/>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bfb1d0" w:themeFill="accent4"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5f497a" w:themeFill="accent4" w:themeFillShade="BF"/>
        <w:tcBorders/>
      </w:tcPr>
    </w:tblStylePr>
    <w:tblStylePr w:type="firstRow">
      <w:rPr>
        <w:b/>
        <w:bCs/>
      </w:rPr>
      <w:pPr>
        <w:pBdr/>
        <w:spacing/>
        <w:ind/>
      </w:pPr>
      <w:tblPr>
        <w:tblBorders/>
      </w:tblPr>
      <w:tcPr>
        <w:shd w:val="clear" w:color="auto" w:fill="ccc0d9" w:themeFill="accent4" w:themeFillTint="66"/>
        <w:tcBorders/>
      </w:tcPr>
    </w:tblStylePr>
    <w:tblStylePr w:type="lastCol">
      <w:rPr>
        <w:color w:val="ffffff" w:themeColor="background1"/>
      </w:rPr>
      <w:pPr>
        <w:pBdr/>
        <w:spacing/>
        <w:ind/>
      </w:pPr>
      <w:tblPr>
        <w:tblBorders/>
      </w:tblPr>
      <w:tcPr>
        <w:shd w:val="clear" w:color="auto" w:fill="5f497a" w:themeFill="accent4" w:themeFillShade="BF"/>
        <w:tcBorders/>
      </w:tcPr>
    </w:tblStylePr>
    <w:tblStylePr w:type="lastRow">
      <w:rPr>
        <w:b/>
        <w:bCs/>
        <w:color w:val="000000" w:themeColor="text1"/>
      </w:rPr>
      <w:pPr>
        <w:pBdr/>
        <w:spacing/>
        <w:ind/>
      </w:pPr>
      <w:tblPr>
        <w:tblBorders/>
      </w:tblPr>
      <w:tcPr>
        <w:shd w:val="clear" w:color="auto" w:fill="ccc0d9" w:themeFill="accent4"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0">
    <w:name w:val="Colorful Grid Accent 5"/>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daeef3" w:themeFill="accent5" w:themeFillTint="33"/>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a5d5e2" w:themeFill="accent5"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31849b" w:themeFill="accent5" w:themeFillShade="BF"/>
        <w:tcBorders/>
      </w:tcPr>
    </w:tblStylePr>
    <w:tblStylePr w:type="firstRow">
      <w:rPr>
        <w:b/>
        <w:bCs/>
      </w:rPr>
      <w:pPr>
        <w:pBdr/>
        <w:spacing/>
        <w:ind/>
      </w:pPr>
      <w:tblPr>
        <w:tblBorders/>
      </w:tblPr>
      <w:tcPr>
        <w:shd w:val="clear" w:color="auto" w:fill="b6dde8" w:themeFill="accent5" w:themeFillTint="66"/>
        <w:tcBorders/>
      </w:tcPr>
    </w:tblStylePr>
    <w:tblStylePr w:type="lastCol">
      <w:rPr>
        <w:color w:val="ffffff" w:themeColor="background1"/>
      </w:rPr>
      <w:pPr>
        <w:pBdr/>
        <w:spacing/>
        <w:ind/>
      </w:pPr>
      <w:tblPr>
        <w:tblBorders/>
      </w:tblPr>
      <w:tcPr>
        <w:shd w:val="clear" w:color="auto" w:fill="31849b" w:themeFill="accent5" w:themeFillShade="BF"/>
        <w:tcBorders/>
      </w:tcPr>
    </w:tblStylePr>
    <w:tblStylePr w:type="lastRow">
      <w:rPr>
        <w:b/>
        <w:bCs/>
        <w:color w:val="000000" w:themeColor="text1"/>
      </w:rPr>
      <w:pPr>
        <w:pBdr/>
        <w:spacing/>
        <w:ind/>
      </w:pPr>
      <w:tblPr>
        <w:tblBorders/>
      </w:tblPr>
      <w:tcPr>
        <w:shd w:val="clear" w:color="auto" w:fill="b6dde8" w:themeFill="accent5"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1">
    <w:name w:val="Colorful Grid Accent 6"/>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fde9d9" w:themeFill="accent6" w:themeFillTint="33"/>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caa2" w:themeFill="accent6"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e36c0a" w:themeFill="accent6" w:themeFillShade="BF"/>
        <w:tcBorders/>
      </w:tcPr>
    </w:tblStylePr>
    <w:tblStylePr w:type="firstRow">
      <w:rPr>
        <w:b/>
        <w:bCs/>
      </w:rPr>
      <w:pPr>
        <w:pBdr/>
        <w:spacing/>
        <w:ind/>
      </w:pPr>
      <w:tblPr>
        <w:tblBorders/>
      </w:tblPr>
      <w:tcPr>
        <w:shd w:val="clear" w:color="auto" w:fill="fbd4b4" w:themeFill="accent6" w:themeFillTint="66"/>
        <w:tcBorders/>
      </w:tcPr>
    </w:tblStylePr>
    <w:tblStylePr w:type="lastCol">
      <w:rPr>
        <w:color w:val="ffffff" w:themeColor="background1"/>
      </w:rPr>
      <w:pPr>
        <w:pBdr/>
        <w:spacing/>
        <w:ind/>
      </w:pPr>
      <w:tblPr>
        <w:tblBorders/>
      </w:tblPr>
      <w:tcPr>
        <w:shd w:val="clear" w:color="auto" w:fill="e36c0a" w:themeFill="accent6" w:themeFillShade="BF"/>
        <w:tcBorders/>
      </w:tcPr>
    </w:tblStylePr>
    <w:tblStylePr w:type="lastRow">
      <w:rPr>
        <w:b/>
        <w:bCs/>
        <w:color w:val="000000" w:themeColor="text1"/>
      </w:rPr>
      <w:pPr>
        <w:pBdr/>
        <w:spacing/>
        <w:ind/>
      </w:pPr>
      <w:tblPr>
        <w:tblBorders/>
      </w:tblPr>
      <w:tcPr>
        <w:shd w:val="clear" w:color="auto" w:fill="fbd4b4" w:themeFill="accent6"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glossaryDocument" Target="glossary/document.xml"/><Relationship Id="rId7" Type="http://schemas.openxmlformats.org/officeDocument/2006/relationships/numbering" Target="numbering.xml"/><Relationship Id="rId8" Type="http://schemas.openxmlformats.org/officeDocument/2006/relationships/footnotes" Target="footnotes.xml"/><Relationship Id="rId9" Type="http://schemas.openxmlformats.org/officeDocument/2006/relationships/endnotes" Target="endnotes.xml"/><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customXml" Target="../customXml/item1.xml"/><Relationship Id="rId13" Type="http://schemas.openxmlformats.org/officeDocument/2006/relationships/image" Target="media/image1.png"/><Relationship Id="rId14" Type="http://schemas.openxmlformats.org/officeDocument/2006/relationships/header" Target="header2.xml"/><Relationship Id="rId15" Type="http://schemas.openxmlformats.org/officeDocument/2006/relationships/footer" Target="footer2.xml"/><Relationship Id="rId16" Type="http://schemas.openxmlformats.org/officeDocument/2006/relationships/hyperlink" Target="AI_Asset_Inventory.xlsx" TargetMode="External"/><Relationship Id="rId17" Type="http://schemas.openxmlformats.org/officeDocument/2006/relationships/hyperlink" Target="SINV_Supplier_Inventory.xlsx" TargetMode="External"/><Relationship Id="rId18" Type="http://schemas.openxmlformats.org/officeDocument/2006/relationships/hyperlink" Target="UAI_Users_and_Access_Inventory.xlsx" TargetMode="External"/><Relationship Id="rId19" Type="http://schemas.openxmlformats.org/officeDocument/2006/relationships/hyperlink" Target="MDR_Mandatory_Documents_and_Records_Register.xlsx" TargetMode="External"/><Relationship Id="rId20" Type="http://schemas.openxmlformats.org/officeDocument/2006/relationships/hyperlink" Target="DR_Document_Register.xlsx" TargetMode="External"/><Relationship Id="rId21" Type="http://schemas.openxmlformats.org/officeDocument/2006/relationships/hyperlink" Target="RRS_Records_Retention_Schedule_Register.xlsx" TargetMode="External"/><Relationship Id="rId22" Type="http://schemas.openxmlformats.org/officeDocument/2006/relationships/hyperlink" Target="DCP_Document_Control_Procedure.docx" TargetMode="External"/><Relationship Id="rId23" Type="http://schemas.openxmlformats.org/officeDocument/2006/relationships/hyperlink" Target="MME_Monitoring_and_Measurement_Evidence_Register.xlsx" TargetMode="External"/><Relationship Id="rId24" Type="http://schemas.openxmlformats.org/officeDocument/2006/relationships/hyperlink" Target="SRP_Supplier_Relationships_Policy.docx" TargetMode="External"/><Relationship Id="rId25" Type="http://schemas.openxmlformats.org/officeDocument/2006/relationships/hyperlink" Target="https://www.iso.org/standard/82875.html" TargetMode="External"/><Relationship Id="rId26" Type="http://schemas.openxmlformats.org/officeDocument/2006/relationships/hyperlink" Target="https://www.amazon.com/dp/9789908983448" TargetMode="External"/><Relationship Id="rId27" Type="http://schemas.openxmlformats.org/officeDocument/2006/relationships/hyperlink" Target="https://www.amazon.com/s?k=ISO+27001+for+Software+Companies+Implementation+and+Certificatio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footnotes" Target="footnotes.xml"/><Relationship Id="rId6" Type="http://schemas.openxmlformats.org/officeDocument/2006/relationships/endnotes" Target="endnot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Parts>
    <w:docPart>
      <w:docPartPr>
        <w:name w:val="DefaultPlaceholder_TEXT"/>
        <w:category>
          <w:name w:val="Common"/>
          <w:gallery w:val="placeholder"/>
        </w:category>
        <w:types>
          <w:type w:val="bbPlcHdr"/>
        </w:types>
        <w:behaviors>
          <w:behavior w:val="content"/>
        </w:behaviors>
      </w:docPartPr>
      <w:docPartBody>
        <w:p>
          <w:pPr>
            <w:pBdr/>
            <w:spacing/>
            <w:ind/>
            <w:rPr/>
          </w:pPr>
          <w:r>
            <w:rPr>
              <w:rStyle w:val="966"/>
            </w:rPr>
            <w:t xml:space="preserve">Hier den Text eingeben</w:t>
          </w:r>
          <w:r/>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font>
  <w:font w:name="Calibri">
    <w:panose1 w:val="020F0502020204030204"/>
  </w:font>
  <w:font w:name="Times New Roman">
    <w:panose1 w:val="02020603050405020304"/>
  </w:font>
  <w:font w:name="Cambria">
    <w:panose1 w:val="02040503050406030204"/>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separator/>
      </w:r>
      <w:r/>
    </w:p>
  </w:footnote>
  <w:footnote w:type="continuationSeparator" w:id="0">
    <w:p>
      <w:pPr>
        <w:pBdr/>
        <w:spacing w:after="0" w:line="240" w:lineRule="auto"/>
        <w:ind/>
        <w:rPr/>
      </w:pPr>
      <w:r>
        <w:continuationSeparator/>
      </w: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635"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6">
    <w:name w:val="Table Grid"/>
    <w:basedOn w:val="1635"/>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7">
    <w:name w:val="Table Grid Light"/>
    <w:basedOn w:val="163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8">
    <w:name w:val="Plain Table 1"/>
    <w:basedOn w:val="163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9">
    <w:name w:val="Plain Table 2"/>
    <w:basedOn w:val="1635"/>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0">
    <w:name w:val="Plain Table 3"/>
    <w:basedOn w:val="163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1">
    <w:name w:val="Plain Table 4"/>
    <w:basedOn w:val="163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2">
    <w:name w:val="Plain Table 5"/>
    <w:basedOn w:val="163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3">
    <w:name w:val="Grid Table 1 Light"/>
    <w:basedOn w:val="1635"/>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4">
    <w:name w:val="Grid Table 1 Light - Accent 1"/>
    <w:basedOn w:val="163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5">
    <w:name w:val="Grid Table 1 Light - Accent 2"/>
    <w:basedOn w:val="163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6">
    <w:name w:val="Grid Table 1 Light - Accent 3"/>
    <w:basedOn w:val="163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7">
    <w:name w:val="Grid Table 1 Light - Accent 4"/>
    <w:basedOn w:val="163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8">
    <w:name w:val="Grid Table 1 Light - Accent 5"/>
    <w:basedOn w:val="163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9">
    <w:name w:val="Grid Table 1 Light - Accent 6"/>
    <w:basedOn w:val="163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0">
    <w:name w:val="Grid Table 2"/>
    <w:basedOn w:val="163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1">
    <w:name w:val="Grid Table 2 - Accent 1"/>
    <w:basedOn w:val="163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2">
    <w:name w:val="Grid Table 2 - Accent 2"/>
    <w:basedOn w:val="163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3">
    <w:name w:val="Grid Table 2 - Accent 3"/>
    <w:basedOn w:val="163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4">
    <w:name w:val="Grid Table 2 - Accent 4"/>
    <w:basedOn w:val="163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5">
    <w:name w:val="Grid Table 2 - Accent 5"/>
    <w:basedOn w:val="163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6">
    <w:name w:val="Grid Table 2 - Accent 6"/>
    <w:basedOn w:val="163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7">
    <w:name w:val="Grid Table 3"/>
    <w:basedOn w:val="163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8">
    <w:name w:val="Grid Table 3 - Accent 1"/>
    <w:basedOn w:val="163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9">
    <w:name w:val="Grid Table 3 - Accent 2"/>
    <w:basedOn w:val="163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0">
    <w:name w:val="Grid Table 3 - Accent 3"/>
    <w:basedOn w:val="163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1">
    <w:name w:val="Grid Table 3 - Accent 4"/>
    <w:basedOn w:val="163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2">
    <w:name w:val="Grid Table 3 - Accent 5"/>
    <w:basedOn w:val="163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3">
    <w:name w:val="Grid Table 3 - Accent 6"/>
    <w:basedOn w:val="163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4">
    <w:name w:val="Grid Table 4"/>
    <w:basedOn w:val="1635"/>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5">
    <w:name w:val="Grid Table 4 - Accent 1"/>
    <w:basedOn w:val="1635"/>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6">
    <w:name w:val="Grid Table 4 - Accent 2"/>
    <w:basedOn w:val="1635"/>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7">
    <w:name w:val="Grid Table 4 - Accent 3"/>
    <w:basedOn w:val="1635"/>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8">
    <w:name w:val="Grid Table 4 - Accent 4"/>
    <w:basedOn w:val="1635"/>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9">
    <w:name w:val="Grid Table 4 - Accent 5"/>
    <w:basedOn w:val="1635"/>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0">
    <w:name w:val="Grid Table 4 - Accent 6"/>
    <w:basedOn w:val="1635"/>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1">
    <w:name w:val="Grid Table 5 Dark"/>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2">
    <w:name w:val="Grid Table 5 Dark- Accent 1"/>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3">
    <w:name w:val="Grid Table 5 Dark - Accent 2"/>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4">
    <w:name w:val="Grid Table 5 Dark - Accent 3"/>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5">
    <w:name w:val="Grid Table 5 Dark- Accent 4"/>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6">
    <w:name w:val="Grid Table 5 Dark - Accent 5"/>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7">
    <w:name w:val="Grid Table 5 Dark - Accent 6"/>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8">
    <w:name w:val="Grid Table 6 Colorful"/>
    <w:basedOn w:val="1635"/>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1679">
    <w:name w:val="Grid Table 6 Colorful - Accent 1"/>
    <w:basedOn w:val="1635"/>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1680">
    <w:name w:val="Grid Table 6 Colorful - Accent 2"/>
    <w:basedOn w:val="163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1681">
    <w:name w:val="Grid Table 6 Colorful - Accent 3"/>
    <w:basedOn w:val="1635"/>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1682">
    <w:name w:val="Grid Table 6 Colorful - Accent 4"/>
    <w:basedOn w:val="163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1683">
    <w:name w:val="Grid Table 6 Colorful - Accent 5"/>
    <w:basedOn w:val="1635"/>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1684">
    <w:name w:val="Grid Table 6 Colorful - Accent 6"/>
    <w:basedOn w:val="1635"/>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1685">
    <w:name w:val="Grid Table 7 Colorful"/>
    <w:basedOn w:val="1635"/>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6">
    <w:name w:val="Grid Table 7 Colorful - Accent 1"/>
    <w:basedOn w:val="1635"/>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7">
    <w:name w:val="Grid Table 7 Colorful - Accent 2"/>
    <w:basedOn w:val="1635"/>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8">
    <w:name w:val="Grid Table 7 Colorful - Accent 3"/>
    <w:basedOn w:val="1635"/>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9">
    <w:name w:val="Grid Table 7 Colorful - Accent 4"/>
    <w:basedOn w:val="1635"/>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0">
    <w:name w:val="Grid Table 7 Colorful - Accent 5"/>
    <w:basedOn w:val="1635"/>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1">
    <w:name w:val="Grid Table 7 Colorful - Accent 6"/>
    <w:basedOn w:val="1635"/>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2">
    <w:name w:val="List Table 1 Light"/>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3">
    <w:name w:val="List Table 1 Light - Accent 1"/>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4">
    <w:name w:val="List Table 1 Light - Accent 2"/>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5">
    <w:name w:val="List Table 1 Light - Accent 3"/>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6">
    <w:name w:val="List Table 1 Light - Accent 4"/>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7">
    <w:name w:val="List Table 1 Light - Accent 5"/>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8">
    <w:name w:val="List Table 1 Light - Accent 6"/>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9">
    <w:name w:val="List Table 2"/>
    <w:basedOn w:val="1635"/>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0">
    <w:name w:val="List Table 2 - Accent 1"/>
    <w:basedOn w:val="1635"/>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1">
    <w:name w:val="List Table 2 - Accent 2"/>
    <w:basedOn w:val="1635"/>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2">
    <w:name w:val="List Table 2 - Accent 3"/>
    <w:basedOn w:val="1635"/>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3">
    <w:name w:val="List Table 2 - Accent 4"/>
    <w:basedOn w:val="1635"/>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4">
    <w:name w:val="List Table 2 - Accent 5"/>
    <w:basedOn w:val="1635"/>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5">
    <w:name w:val="List Table 2 - Accent 6"/>
    <w:basedOn w:val="1635"/>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6">
    <w:name w:val="List Table 3"/>
    <w:basedOn w:val="163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7">
    <w:name w:val="List Table 3 - Accent 1"/>
    <w:basedOn w:val="1635"/>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8">
    <w:name w:val="List Table 3 - Accent 2"/>
    <w:basedOn w:val="163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9">
    <w:name w:val="List Table 3 - Accent 3"/>
    <w:basedOn w:val="1635"/>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0">
    <w:name w:val="List Table 3 - Accent 4"/>
    <w:basedOn w:val="163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1">
    <w:name w:val="List Table 3 - Accent 5"/>
    <w:basedOn w:val="1635"/>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2">
    <w:name w:val="List Table 3 - Accent 6"/>
    <w:basedOn w:val="1635"/>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3">
    <w:name w:val="List Table 4"/>
    <w:basedOn w:val="163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4">
    <w:name w:val="List Table 4 - Accent 1"/>
    <w:basedOn w:val="1635"/>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5">
    <w:name w:val="List Table 4 - Accent 2"/>
    <w:basedOn w:val="1635"/>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6">
    <w:name w:val="List Table 4 - Accent 3"/>
    <w:basedOn w:val="1635"/>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7">
    <w:name w:val="List Table 4 - Accent 4"/>
    <w:basedOn w:val="1635"/>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8">
    <w:name w:val="List Table 4 - Accent 5"/>
    <w:basedOn w:val="1635"/>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9">
    <w:name w:val="List Table 4 - Accent 6"/>
    <w:basedOn w:val="1635"/>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20">
    <w:name w:val="List Table 5 Dark"/>
    <w:basedOn w:val="1635"/>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1">
    <w:name w:val="List Table 5 Dark - Accent 1"/>
    <w:basedOn w:val="1635"/>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2">
    <w:name w:val="List Table 5 Dark - Accent 2"/>
    <w:basedOn w:val="1635"/>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3">
    <w:name w:val="List Table 5 Dark - Accent 3"/>
    <w:basedOn w:val="1635"/>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4">
    <w:name w:val="List Table 5 Dark - Accent 4"/>
    <w:basedOn w:val="1635"/>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5">
    <w:name w:val="List Table 5 Dark - Accent 5"/>
    <w:basedOn w:val="1635"/>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6">
    <w:name w:val="List Table 5 Dark - Accent 6"/>
    <w:basedOn w:val="1635"/>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7">
    <w:name w:val="List Table 6 Colorful"/>
    <w:basedOn w:val="1635"/>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28">
    <w:name w:val="List Table 6 Colorful - Accent 1"/>
    <w:basedOn w:val="1635"/>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29">
    <w:name w:val="List Table 6 Colorful - Accent 2"/>
    <w:basedOn w:val="1635"/>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0">
    <w:name w:val="List Table 6 Colorful - Accent 3"/>
    <w:basedOn w:val="1635"/>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1">
    <w:name w:val="List Table 6 Colorful - Accent 4"/>
    <w:basedOn w:val="1635"/>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2">
    <w:name w:val="List Table 6 Colorful - Accent 5"/>
    <w:basedOn w:val="1635"/>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3">
    <w:name w:val="List Table 6 Colorful - Accent 6"/>
    <w:basedOn w:val="1635"/>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4">
    <w:name w:val="List Table 7 Colorful"/>
    <w:basedOn w:val="1635"/>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735">
    <w:name w:val="List Table 7 Colorful - Accent 1"/>
    <w:basedOn w:val="1635"/>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1736">
    <w:name w:val="List Table 7 Colorful - Accent 2"/>
    <w:basedOn w:val="1635"/>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1737">
    <w:name w:val="List Table 7 Colorful - Accent 3"/>
    <w:basedOn w:val="1635"/>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1738">
    <w:name w:val="List Table 7 Colorful - Accent 4"/>
    <w:basedOn w:val="1635"/>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1739">
    <w:name w:val="List Table 7 Colorful - Accent 5"/>
    <w:basedOn w:val="1635"/>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1740">
    <w:name w:val="List Table 7 Colorful - Accent 6"/>
    <w:basedOn w:val="1635"/>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1741">
    <w:name w:val="Lined - Accent"/>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2">
    <w:name w:val="Lined - Accent 1"/>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3">
    <w:name w:val="Lined - Accent 2"/>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4">
    <w:name w:val="Lined - Accent 3"/>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5">
    <w:name w:val="Lined - Accent 4"/>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6">
    <w:name w:val="Lined - Accent 5"/>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7">
    <w:name w:val="Lined - Accent 6"/>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8">
    <w:name w:val="Bordered &amp; Lined - Accent"/>
    <w:basedOn w:val="1635"/>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9">
    <w:name w:val="Bordered &amp; Lined - Accent 1"/>
    <w:basedOn w:val="1635"/>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0">
    <w:name w:val="Bordered &amp; Lined - Accent 2"/>
    <w:basedOn w:val="1635"/>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1">
    <w:name w:val="Bordered &amp; Lined - Accent 3"/>
    <w:basedOn w:val="1635"/>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2">
    <w:name w:val="Bordered &amp; Lined - Accent 4"/>
    <w:basedOn w:val="1635"/>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3">
    <w:name w:val="Bordered &amp; Lined - Accent 5"/>
    <w:basedOn w:val="1635"/>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4">
    <w:name w:val="Bordered &amp; Lined - Accent 6"/>
    <w:basedOn w:val="1635"/>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5">
    <w:name w:val="Bordered"/>
    <w:basedOn w:val="1635"/>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6">
    <w:name w:val="Bordered - Accent 1"/>
    <w:basedOn w:val="163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7">
    <w:name w:val="Bordered - Accent 2"/>
    <w:basedOn w:val="163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8">
    <w:name w:val="Bordered - Accent 3"/>
    <w:basedOn w:val="163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9">
    <w:name w:val="Bordered - Accent 4"/>
    <w:basedOn w:val="163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60">
    <w:name w:val="Bordered - Accent 5"/>
    <w:basedOn w:val="163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61">
    <w:name w:val="Bordered - Accent 6"/>
    <w:basedOn w:val="163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762" w:default="1">
    <w:name w:val="Normal"/>
    <w:qFormat/>
    <w:pPr>
      <w:pBdr/>
      <w:spacing/>
      <w:ind/>
    </w:pPr>
  </w:style>
  <w:style w:type="paragraph" w:styleId="1763">
    <w:name w:val="Heading 1"/>
    <w:basedOn w:val="1762"/>
    <w:next w:val="1762"/>
    <w:link w:val="1774"/>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764">
    <w:name w:val="Heading 2"/>
    <w:basedOn w:val="1762"/>
    <w:next w:val="1762"/>
    <w:link w:val="1775"/>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765">
    <w:name w:val="Heading 3"/>
    <w:basedOn w:val="1762"/>
    <w:next w:val="1762"/>
    <w:link w:val="1776"/>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766">
    <w:name w:val="Heading 4"/>
    <w:basedOn w:val="1762"/>
    <w:next w:val="1762"/>
    <w:link w:val="1777"/>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767">
    <w:name w:val="Heading 5"/>
    <w:basedOn w:val="1762"/>
    <w:next w:val="1762"/>
    <w:link w:val="1778"/>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768">
    <w:name w:val="Heading 6"/>
    <w:basedOn w:val="1762"/>
    <w:next w:val="1762"/>
    <w:link w:val="1779"/>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769">
    <w:name w:val="Heading 7"/>
    <w:basedOn w:val="1762"/>
    <w:next w:val="1762"/>
    <w:link w:val="1780"/>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770">
    <w:name w:val="Heading 8"/>
    <w:basedOn w:val="1762"/>
    <w:next w:val="1762"/>
    <w:link w:val="1781"/>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771">
    <w:name w:val="Heading 9"/>
    <w:basedOn w:val="1762"/>
    <w:next w:val="1762"/>
    <w:link w:val="1782"/>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772" w:default="1">
    <w:name w:val="Default Paragraph Font"/>
    <w:uiPriority w:val="1"/>
    <w:semiHidden/>
    <w:unhideWhenUsed/>
    <w:pPr>
      <w:pBdr/>
      <w:spacing/>
      <w:ind/>
    </w:pPr>
  </w:style>
  <w:style w:type="numbering" w:styleId="1773" w:default="1">
    <w:name w:val="No List"/>
    <w:uiPriority w:val="99"/>
    <w:semiHidden/>
    <w:unhideWhenUsed/>
    <w:pPr>
      <w:pBdr/>
      <w:spacing/>
      <w:ind/>
    </w:pPr>
  </w:style>
  <w:style w:type="character" w:styleId="1774">
    <w:name w:val="Heading 1 Char"/>
    <w:basedOn w:val="1772"/>
    <w:link w:val="1763"/>
    <w:uiPriority w:val="9"/>
    <w:pPr>
      <w:pBdr/>
      <w:spacing/>
      <w:ind/>
    </w:pPr>
    <w:rPr>
      <w:rFonts w:ascii="Arial" w:hAnsi="Arial" w:eastAsia="Arial" w:cs="Arial"/>
      <w:color w:val="0f4761" w:themeColor="accent1" w:themeShade="BF"/>
      <w:sz w:val="40"/>
      <w:szCs w:val="40"/>
    </w:rPr>
  </w:style>
  <w:style w:type="character" w:styleId="1775">
    <w:name w:val="Heading 2 Char"/>
    <w:basedOn w:val="1772"/>
    <w:link w:val="1764"/>
    <w:uiPriority w:val="9"/>
    <w:pPr>
      <w:pBdr/>
      <w:spacing/>
      <w:ind/>
    </w:pPr>
    <w:rPr>
      <w:rFonts w:ascii="Arial" w:hAnsi="Arial" w:eastAsia="Arial" w:cs="Arial"/>
      <w:color w:val="0f4761" w:themeColor="accent1" w:themeShade="BF"/>
      <w:sz w:val="32"/>
      <w:szCs w:val="32"/>
    </w:rPr>
  </w:style>
  <w:style w:type="character" w:styleId="1776">
    <w:name w:val="Heading 3 Char"/>
    <w:basedOn w:val="1772"/>
    <w:link w:val="1765"/>
    <w:uiPriority w:val="9"/>
    <w:pPr>
      <w:pBdr/>
      <w:spacing/>
      <w:ind/>
    </w:pPr>
    <w:rPr>
      <w:rFonts w:ascii="Arial" w:hAnsi="Arial" w:eastAsia="Arial" w:cs="Arial"/>
      <w:color w:val="0f4761" w:themeColor="accent1" w:themeShade="BF"/>
      <w:sz w:val="28"/>
      <w:szCs w:val="28"/>
    </w:rPr>
  </w:style>
  <w:style w:type="character" w:styleId="1777">
    <w:name w:val="Heading 4 Char"/>
    <w:basedOn w:val="1772"/>
    <w:link w:val="1766"/>
    <w:uiPriority w:val="9"/>
    <w:pPr>
      <w:pBdr/>
      <w:spacing/>
      <w:ind/>
    </w:pPr>
    <w:rPr>
      <w:rFonts w:ascii="Arial" w:hAnsi="Arial" w:eastAsia="Arial" w:cs="Arial"/>
      <w:i/>
      <w:iCs/>
      <w:color w:val="0f4761" w:themeColor="accent1" w:themeShade="BF"/>
    </w:rPr>
  </w:style>
  <w:style w:type="character" w:styleId="1778">
    <w:name w:val="Heading 5 Char"/>
    <w:basedOn w:val="1772"/>
    <w:link w:val="1767"/>
    <w:uiPriority w:val="9"/>
    <w:pPr>
      <w:pBdr/>
      <w:spacing/>
      <w:ind/>
    </w:pPr>
    <w:rPr>
      <w:rFonts w:ascii="Arial" w:hAnsi="Arial" w:eastAsia="Arial" w:cs="Arial"/>
      <w:color w:val="0f4761" w:themeColor="accent1" w:themeShade="BF"/>
    </w:rPr>
  </w:style>
  <w:style w:type="character" w:styleId="1779">
    <w:name w:val="Heading 6 Char"/>
    <w:basedOn w:val="1772"/>
    <w:link w:val="1768"/>
    <w:uiPriority w:val="9"/>
    <w:pPr>
      <w:pBdr/>
      <w:spacing/>
      <w:ind/>
    </w:pPr>
    <w:rPr>
      <w:rFonts w:ascii="Arial" w:hAnsi="Arial" w:eastAsia="Arial" w:cs="Arial"/>
      <w:i/>
      <w:iCs/>
      <w:color w:val="595959" w:themeColor="text1" w:themeTint="A6"/>
    </w:rPr>
  </w:style>
  <w:style w:type="character" w:styleId="1780">
    <w:name w:val="Heading 7 Char"/>
    <w:basedOn w:val="1772"/>
    <w:link w:val="1769"/>
    <w:uiPriority w:val="9"/>
    <w:pPr>
      <w:pBdr/>
      <w:spacing/>
      <w:ind/>
    </w:pPr>
    <w:rPr>
      <w:rFonts w:ascii="Arial" w:hAnsi="Arial" w:eastAsia="Arial" w:cs="Arial"/>
      <w:color w:val="595959" w:themeColor="text1" w:themeTint="A6"/>
    </w:rPr>
  </w:style>
  <w:style w:type="character" w:styleId="1781">
    <w:name w:val="Heading 8 Char"/>
    <w:basedOn w:val="1772"/>
    <w:link w:val="1770"/>
    <w:uiPriority w:val="9"/>
    <w:pPr>
      <w:pBdr/>
      <w:spacing/>
      <w:ind/>
    </w:pPr>
    <w:rPr>
      <w:rFonts w:ascii="Arial" w:hAnsi="Arial" w:eastAsia="Arial" w:cs="Arial"/>
      <w:i/>
      <w:iCs/>
      <w:color w:val="272727" w:themeColor="text1" w:themeTint="D8"/>
    </w:rPr>
  </w:style>
  <w:style w:type="character" w:styleId="1782">
    <w:name w:val="Heading 9 Char"/>
    <w:basedOn w:val="1772"/>
    <w:link w:val="1771"/>
    <w:uiPriority w:val="9"/>
    <w:pPr>
      <w:pBdr/>
      <w:spacing/>
      <w:ind/>
    </w:pPr>
    <w:rPr>
      <w:rFonts w:ascii="Arial" w:hAnsi="Arial" w:eastAsia="Arial" w:cs="Arial"/>
      <w:i/>
      <w:iCs/>
      <w:color w:val="272727" w:themeColor="text1" w:themeTint="D8"/>
    </w:rPr>
  </w:style>
  <w:style w:type="paragraph" w:styleId="1783">
    <w:name w:val="Title"/>
    <w:basedOn w:val="1762"/>
    <w:next w:val="1762"/>
    <w:link w:val="1784"/>
    <w:uiPriority w:val="10"/>
    <w:qFormat/>
    <w:pPr>
      <w:pBdr/>
      <w:spacing w:after="80" w:line="240" w:lineRule="auto"/>
      <w:ind/>
      <w:contextualSpacing w:val="true"/>
    </w:pPr>
    <w:rPr>
      <w:rFonts w:ascii="Arial" w:hAnsi="Arial" w:eastAsia="Arial" w:cs="Arial"/>
      <w:spacing w:val="-10"/>
      <w:sz w:val="56"/>
      <w:szCs w:val="56"/>
    </w:rPr>
  </w:style>
  <w:style w:type="character" w:styleId="1784">
    <w:name w:val="Title Char"/>
    <w:basedOn w:val="1772"/>
    <w:link w:val="1783"/>
    <w:uiPriority w:val="10"/>
    <w:pPr>
      <w:pBdr/>
      <w:spacing/>
      <w:ind/>
    </w:pPr>
    <w:rPr>
      <w:rFonts w:ascii="Arial" w:hAnsi="Arial" w:eastAsia="Arial" w:cs="Arial"/>
      <w:spacing w:val="-10"/>
      <w:sz w:val="56"/>
      <w:szCs w:val="56"/>
    </w:rPr>
  </w:style>
  <w:style w:type="paragraph" w:styleId="1785">
    <w:name w:val="Subtitle"/>
    <w:basedOn w:val="1762"/>
    <w:next w:val="1762"/>
    <w:link w:val="1786"/>
    <w:uiPriority w:val="11"/>
    <w:qFormat/>
    <w:pPr>
      <w:numPr>
        <w:ilvl w:val="1"/>
      </w:numPr>
      <w:pBdr/>
      <w:spacing/>
      <w:ind/>
    </w:pPr>
    <w:rPr>
      <w:color w:val="595959" w:themeColor="text1" w:themeTint="A6"/>
      <w:spacing w:val="15"/>
      <w:sz w:val="28"/>
      <w:szCs w:val="28"/>
    </w:rPr>
  </w:style>
  <w:style w:type="character" w:styleId="1786">
    <w:name w:val="Subtitle Char"/>
    <w:basedOn w:val="1772"/>
    <w:link w:val="1785"/>
    <w:uiPriority w:val="11"/>
    <w:pPr>
      <w:pBdr/>
      <w:spacing/>
      <w:ind/>
    </w:pPr>
    <w:rPr>
      <w:color w:val="595959" w:themeColor="text1" w:themeTint="A6"/>
      <w:spacing w:val="15"/>
      <w:sz w:val="28"/>
      <w:szCs w:val="28"/>
    </w:rPr>
  </w:style>
  <w:style w:type="paragraph" w:styleId="1787">
    <w:name w:val="Quote"/>
    <w:basedOn w:val="1762"/>
    <w:next w:val="1762"/>
    <w:link w:val="1788"/>
    <w:uiPriority w:val="29"/>
    <w:qFormat/>
    <w:pPr>
      <w:pBdr/>
      <w:spacing w:before="160"/>
      <w:ind/>
      <w:jc w:val="center"/>
    </w:pPr>
    <w:rPr>
      <w:i/>
      <w:iCs/>
      <w:color w:val="404040" w:themeColor="text1" w:themeTint="BF"/>
    </w:rPr>
  </w:style>
  <w:style w:type="character" w:styleId="1788">
    <w:name w:val="Quote Char"/>
    <w:basedOn w:val="1772"/>
    <w:link w:val="1787"/>
    <w:uiPriority w:val="29"/>
    <w:pPr>
      <w:pBdr/>
      <w:spacing/>
      <w:ind/>
    </w:pPr>
    <w:rPr>
      <w:i/>
      <w:iCs/>
      <w:color w:val="404040" w:themeColor="text1" w:themeTint="BF"/>
    </w:rPr>
  </w:style>
  <w:style w:type="paragraph" w:styleId="1789">
    <w:name w:val="List Paragraph"/>
    <w:basedOn w:val="1762"/>
    <w:uiPriority w:val="34"/>
    <w:qFormat/>
    <w:pPr>
      <w:pBdr/>
      <w:spacing/>
      <w:ind w:left="720"/>
      <w:contextualSpacing w:val="true"/>
    </w:pPr>
  </w:style>
  <w:style w:type="character" w:styleId="1790">
    <w:name w:val="Intense Emphasis"/>
    <w:basedOn w:val="1772"/>
    <w:uiPriority w:val="21"/>
    <w:qFormat/>
    <w:pPr>
      <w:pBdr/>
      <w:spacing/>
      <w:ind/>
    </w:pPr>
    <w:rPr>
      <w:i/>
      <w:iCs/>
      <w:color w:val="0f4761" w:themeColor="accent1" w:themeShade="BF"/>
    </w:rPr>
  </w:style>
  <w:style w:type="paragraph" w:styleId="1791">
    <w:name w:val="Intense Quote"/>
    <w:basedOn w:val="1762"/>
    <w:next w:val="1762"/>
    <w:link w:val="1792"/>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792">
    <w:name w:val="Intense Quote Char"/>
    <w:basedOn w:val="1772"/>
    <w:link w:val="1791"/>
    <w:uiPriority w:val="30"/>
    <w:pPr>
      <w:pBdr/>
      <w:spacing/>
      <w:ind/>
    </w:pPr>
    <w:rPr>
      <w:i/>
      <w:iCs/>
      <w:color w:val="0f4761" w:themeColor="accent1" w:themeShade="BF"/>
    </w:rPr>
  </w:style>
  <w:style w:type="character" w:styleId="1793">
    <w:name w:val="Intense Reference"/>
    <w:basedOn w:val="1772"/>
    <w:uiPriority w:val="32"/>
    <w:qFormat/>
    <w:pPr>
      <w:pBdr/>
      <w:spacing/>
      <w:ind/>
    </w:pPr>
    <w:rPr>
      <w:b/>
      <w:bCs/>
      <w:smallCaps/>
      <w:color w:val="0f4761" w:themeColor="accent1" w:themeShade="BF"/>
      <w:spacing w:val="5"/>
    </w:rPr>
  </w:style>
  <w:style w:type="paragraph" w:styleId="1794">
    <w:name w:val="No Spacing"/>
    <w:basedOn w:val="1762"/>
    <w:uiPriority w:val="1"/>
    <w:qFormat/>
    <w:pPr>
      <w:pBdr/>
      <w:spacing w:after="0" w:line="240" w:lineRule="auto"/>
      <w:ind/>
    </w:pPr>
  </w:style>
  <w:style w:type="character" w:styleId="1795">
    <w:name w:val="Subtle Emphasis"/>
    <w:basedOn w:val="1772"/>
    <w:uiPriority w:val="19"/>
    <w:qFormat/>
    <w:pPr>
      <w:pBdr/>
      <w:spacing/>
      <w:ind/>
    </w:pPr>
    <w:rPr>
      <w:i/>
      <w:iCs/>
      <w:color w:val="404040" w:themeColor="text1" w:themeTint="BF"/>
    </w:rPr>
  </w:style>
  <w:style w:type="character" w:styleId="1796">
    <w:name w:val="Emphasis"/>
    <w:basedOn w:val="1772"/>
    <w:uiPriority w:val="20"/>
    <w:qFormat/>
    <w:pPr>
      <w:pBdr/>
      <w:spacing/>
      <w:ind/>
    </w:pPr>
    <w:rPr>
      <w:i/>
      <w:iCs/>
    </w:rPr>
  </w:style>
  <w:style w:type="character" w:styleId="1797">
    <w:name w:val="Strong"/>
    <w:basedOn w:val="1772"/>
    <w:uiPriority w:val="22"/>
    <w:qFormat/>
    <w:pPr>
      <w:pBdr/>
      <w:spacing/>
      <w:ind/>
    </w:pPr>
    <w:rPr>
      <w:b/>
      <w:bCs/>
    </w:rPr>
  </w:style>
  <w:style w:type="character" w:styleId="1798">
    <w:name w:val="Subtle Reference"/>
    <w:basedOn w:val="1772"/>
    <w:uiPriority w:val="31"/>
    <w:qFormat/>
    <w:pPr>
      <w:pBdr/>
      <w:spacing/>
      <w:ind/>
    </w:pPr>
    <w:rPr>
      <w:smallCaps/>
      <w:color w:val="5a5a5a" w:themeColor="text1" w:themeTint="A5"/>
    </w:rPr>
  </w:style>
  <w:style w:type="character" w:styleId="1799">
    <w:name w:val="Book Title"/>
    <w:basedOn w:val="1772"/>
    <w:uiPriority w:val="33"/>
    <w:qFormat/>
    <w:pPr>
      <w:pBdr/>
      <w:spacing/>
      <w:ind/>
    </w:pPr>
    <w:rPr>
      <w:b/>
      <w:bCs/>
      <w:i/>
      <w:iCs/>
      <w:spacing w:val="5"/>
    </w:rPr>
  </w:style>
  <w:style w:type="paragraph" w:styleId="1800">
    <w:name w:val="Header"/>
    <w:basedOn w:val="1762"/>
    <w:link w:val="1801"/>
    <w:uiPriority w:val="99"/>
    <w:unhideWhenUsed/>
    <w:pPr>
      <w:pBdr/>
      <w:tabs>
        <w:tab w:val="center" w:leader="none" w:pos="4844"/>
        <w:tab w:val="right" w:leader="none" w:pos="9689"/>
      </w:tabs>
      <w:spacing w:after="0" w:line="240" w:lineRule="auto"/>
      <w:ind/>
    </w:pPr>
  </w:style>
  <w:style w:type="character" w:styleId="1801">
    <w:name w:val="Header Char"/>
    <w:basedOn w:val="1772"/>
    <w:link w:val="1800"/>
    <w:uiPriority w:val="99"/>
    <w:pPr>
      <w:pBdr/>
      <w:spacing/>
      <w:ind/>
    </w:pPr>
  </w:style>
  <w:style w:type="paragraph" w:styleId="1802">
    <w:name w:val="Footer"/>
    <w:basedOn w:val="1762"/>
    <w:link w:val="1803"/>
    <w:uiPriority w:val="99"/>
    <w:unhideWhenUsed/>
    <w:pPr>
      <w:pBdr/>
      <w:tabs>
        <w:tab w:val="center" w:leader="none" w:pos="4844"/>
        <w:tab w:val="right" w:leader="none" w:pos="9689"/>
      </w:tabs>
      <w:spacing w:after="0" w:line="240" w:lineRule="auto"/>
      <w:ind/>
    </w:pPr>
  </w:style>
  <w:style w:type="character" w:styleId="1803">
    <w:name w:val="Footer Char"/>
    <w:basedOn w:val="1772"/>
    <w:link w:val="1802"/>
    <w:uiPriority w:val="99"/>
    <w:pPr>
      <w:pBdr/>
      <w:spacing/>
      <w:ind/>
    </w:pPr>
  </w:style>
  <w:style w:type="paragraph" w:styleId="1804">
    <w:name w:val="Caption"/>
    <w:basedOn w:val="1762"/>
    <w:next w:val="1762"/>
    <w:uiPriority w:val="35"/>
    <w:unhideWhenUsed/>
    <w:qFormat/>
    <w:pPr>
      <w:pBdr/>
      <w:spacing w:after="200" w:line="240" w:lineRule="auto"/>
      <w:ind/>
    </w:pPr>
    <w:rPr>
      <w:i/>
      <w:iCs/>
      <w:color w:val="0e2841" w:themeColor="text2"/>
      <w:sz w:val="18"/>
      <w:szCs w:val="18"/>
    </w:rPr>
  </w:style>
  <w:style w:type="paragraph" w:styleId="1805">
    <w:name w:val="footnote text"/>
    <w:basedOn w:val="1762"/>
    <w:link w:val="1806"/>
    <w:uiPriority w:val="99"/>
    <w:semiHidden/>
    <w:unhideWhenUsed/>
    <w:pPr>
      <w:pBdr/>
      <w:spacing w:after="0" w:line="240" w:lineRule="auto"/>
      <w:ind/>
    </w:pPr>
    <w:rPr>
      <w:sz w:val="20"/>
      <w:szCs w:val="20"/>
    </w:rPr>
  </w:style>
  <w:style w:type="character" w:styleId="1806">
    <w:name w:val="Footnote Text Char"/>
    <w:basedOn w:val="1772"/>
    <w:link w:val="1805"/>
    <w:uiPriority w:val="99"/>
    <w:semiHidden/>
    <w:pPr>
      <w:pBdr/>
      <w:spacing/>
      <w:ind/>
    </w:pPr>
    <w:rPr>
      <w:sz w:val="20"/>
      <w:szCs w:val="20"/>
    </w:rPr>
  </w:style>
  <w:style w:type="character" w:styleId="1807">
    <w:name w:val="footnote reference"/>
    <w:basedOn w:val="1772"/>
    <w:uiPriority w:val="99"/>
    <w:semiHidden/>
    <w:unhideWhenUsed/>
    <w:pPr>
      <w:pBdr/>
      <w:spacing/>
      <w:ind/>
    </w:pPr>
    <w:rPr>
      <w:vertAlign w:val="superscript"/>
    </w:rPr>
  </w:style>
  <w:style w:type="paragraph" w:styleId="1808">
    <w:name w:val="endnote text"/>
    <w:basedOn w:val="1762"/>
    <w:link w:val="1809"/>
    <w:uiPriority w:val="99"/>
    <w:semiHidden/>
    <w:unhideWhenUsed/>
    <w:pPr>
      <w:pBdr/>
      <w:spacing w:after="0" w:line="240" w:lineRule="auto"/>
      <w:ind/>
    </w:pPr>
    <w:rPr>
      <w:sz w:val="20"/>
      <w:szCs w:val="20"/>
    </w:rPr>
  </w:style>
  <w:style w:type="character" w:styleId="1809">
    <w:name w:val="Endnote Text Char"/>
    <w:basedOn w:val="1772"/>
    <w:link w:val="1808"/>
    <w:uiPriority w:val="99"/>
    <w:semiHidden/>
    <w:pPr>
      <w:pBdr/>
      <w:spacing/>
      <w:ind/>
    </w:pPr>
    <w:rPr>
      <w:sz w:val="20"/>
      <w:szCs w:val="20"/>
    </w:rPr>
  </w:style>
  <w:style w:type="character" w:styleId="1810">
    <w:name w:val="endnote reference"/>
    <w:basedOn w:val="1772"/>
    <w:uiPriority w:val="99"/>
    <w:semiHidden/>
    <w:unhideWhenUsed/>
    <w:pPr>
      <w:pBdr/>
      <w:spacing/>
      <w:ind/>
    </w:pPr>
    <w:rPr>
      <w:vertAlign w:val="superscript"/>
    </w:rPr>
  </w:style>
  <w:style w:type="character" w:styleId="1811">
    <w:name w:val="Hyperlink"/>
    <w:basedOn w:val="1772"/>
    <w:uiPriority w:val="99"/>
    <w:unhideWhenUsed/>
    <w:pPr>
      <w:pBdr/>
      <w:spacing/>
      <w:ind/>
    </w:pPr>
    <w:rPr>
      <w:color w:val="0563c1" w:themeColor="hyperlink"/>
      <w:u w:val="single"/>
    </w:rPr>
  </w:style>
  <w:style w:type="character" w:styleId="1812">
    <w:name w:val="FollowedHyperlink"/>
    <w:basedOn w:val="1772"/>
    <w:uiPriority w:val="99"/>
    <w:semiHidden/>
    <w:unhideWhenUsed/>
    <w:pPr>
      <w:pBdr/>
      <w:spacing/>
      <w:ind/>
    </w:pPr>
    <w:rPr>
      <w:color w:val="954f72" w:themeColor="followedHyperlink"/>
      <w:u w:val="single"/>
    </w:rPr>
  </w:style>
  <w:style w:type="paragraph" w:styleId="1813">
    <w:name w:val="toc 1"/>
    <w:basedOn w:val="1762"/>
    <w:next w:val="1762"/>
    <w:uiPriority w:val="39"/>
    <w:unhideWhenUsed/>
    <w:pPr>
      <w:pBdr/>
      <w:spacing w:after="100"/>
      <w:ind/>
    </w:pPr>
  </w:style>
  <w:style w:type="paragraph" w:styleId="1814">
    <w:name w:val="toc 2"/>
    <w:basedOn w:val="1762"/>
    <w:next w:val="1762"/>
    <w:uiPriority w:val="39"/>
    <w:unhideWhenUsed/>
    <w:pPr>
      <w:pBdr/>
      <w:spacing w:after="100"/>
      <w:ind w:left="220"/>
    </w:pPr>
  </w:style>
  <w:style w:type="paragraph" w:styleId="1815">
    <w:name w:val="toc 3"/>
    <w:basedOn w:val="1762"/>
    <w:next w:val="1762"/>
    <w:uiPriority w:val="39"/>
    <w:unhideWhenUsed/>
    <w:pPr>
      <w:pBdr/>
      <w:spacing w:after="100"/>
      <w:ind w:left="440"/>
    </w:pPr>
  </w:style>
  <w:style w:type="paragraph" w:styleId="1816">
    <w:name w:val="toc 4"/>
    <w:basedOn w:val="1762"/>
    <w:next w:val="1762"/>
    <w:uiPriority w:val="39"/>
    <w:unhideWhenUsed/>
    <w:pPr>
      <w:pBdr/>
      <w:spacing w:after="100"/>
      <w:ind w:left="660"/>
    </w:pPr>
  </w:style>
  <w:style w:type="paragraph" w:styleId="1817">
    <w:name w:val="toc 5"/>
    <w:basedOn w:val="1762"/>
    <w:next w:val="1762"/>
    <w:uiPriority w:val="39"/>
    <w:unhideWhenUsed/>
    <w:pPr>
      <w:pBdr/>
      <w:spacing w:after="100"/>
      <w:ind w:left="880"/>
    </w:pPr>
  </w:style>
  <w:style w:type="paragraph" w:styleId="1818">
    <w:name w:val="toc 6"/>
    <w:basedOn w:val="1762"/>
    <w:next w:val="1762"/>
    <w:uiPriority w:val="39"/>
    <w:unhideWhenUsed/>
    <w:pPr>
      <w:pBdr/>
      <w:spacing w:after="100"/>
      <w:ind w:left="1100"/>
    </w:pPr>
  </w:style>
  <w:style w:type="paragraph" w:styleId="1819">
    <w:name w:val="toc 7"/>
    <w:basedOn w:val="1762"/>
    <w:next w:val="1762"/>
    <w:uiPriority w:val="39"/>
    <w:unhideWhenUsed/>
    <w:pPr>
      <w:pBdr/>
      <w:spacing w:after="100"/>
      <w:ind w:left="1320"/>
    </w:pPr>
  </w:style>
  <w:style w:type="paragraph" w:styleId="1820">
    <w:name w:val="toc 8"/>
    <w:basedOn w:val="1762"/>
    <w:next w:val="1762"/>
    <w:uiPriority w:val="39"/>
    <w:unhideWhenUsed/>
    <w:pPr>
      <w:pBdr/>
      <w:spacing w:after="100"/>
      <w:ind w:left="1540"/>
    </w:pPr>
  </w:style>
  <w:style w:type="paragraph" w:styleId="1821">
    <w:name w:val="toc 9"/>
    <w:basedOn w:val="1762"/>
    <w:next w:val="1762"/>
    <w:uiPriority w:val="39"/>
    <w:unhideWhenUsed/>
    <w:pPr>
      <w:pBdr/>
      <w:spacing w:after="100"/>
      <w:ind w:left="1760"/>
    </w:pPr>
  </w:style>
  <w:style w:type="character" w:styleId="1822">
    <w:name w:val="Placeholder Text"/>
    <w:basedOn w:val="1772"/>
    <w:uiPriority w:val="99"/>
    <w:semiHidden/>
    <w:pPr>
      <w:pBdr/>
      <w:spacing/>
      <w:ind/>
    </w:pPr>
    <w:rPr>
      <w:color w:val="666666"/>
    </w:rPr>
  </w:style>
  <w:style w:type="paragraph" w:styleId="1823">
    <w:name w:val="TOC Heading"/>
    <w:uiPriority w:val="39"/>
    <w:unhideWhenUsed/>
    <w:pPr>
      <w:pBdr/>
      <w:spacing/>
      <w:ind/>
    </w:pPr>
  </w:style>
  <w:style w:type="paragraph" w:styleId="1824">
    <w:name w:val="table of figures"/>
    <w:basedOn w:val="1762"/>
    <w:next w:val="1762"/>
    <w:uiPriority w:val="99"/>
    <w:unhideWhenUsed/>
    <w:pPr>
      <w:pBdr/>
      <w:spacing w:after="0" w:afterAutospacing="0"/>
      <w:ind/>
    </w:pPr>
  </w:style>
</w:styles>
</file>

<file path=word/glossary/webSettings.xml><?xml version="1.0" encoding="utf-8"?>
<w:webSettings xmlns:w="http://schemas.openxmlformats.org/wordprocessingml/2006/main">
  <w:optimizeForBrowser/>
</w:webSetting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ONLYOFFICE/9.4.0.129</Application>
  <DocSecurity>0</DocSecurity>
  <ScaleCrop>0</ScaleCrop>
  <HeadingPairs>
    <vt:vector size="0" baseType="variant"/>
  </HeadingPairs>
  <TitlesOfParts>
    <vt:vector size="0" baseType="lpstr"/>
  </TitlesOfParts>
  <Manager/>
  <Company/>
  <LinksUpToDate>0</LinksUpToDate>
  <SharedDoc>0</SharedDoc>
  <HyperlinkBase/>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Classification Policy</dc:title>
  <dc:subject>Official ExportableProof Companion Artifact ICP</dc:subject>
  <dc:creator>MessemerTech</dc:creator>
  <cp:keywords/>
  <dc:description>This artifact is part of the official ExportableProof Companion package issued by MessemerTech.</dc:description>
  <cp:revision>7</cp:revision>
  <dcterms:created xsi:type="dcterms:W3CDTF">2013-12-23T23:15:00Z</dcterms:created>
  <dcterms:modified xsi:type="dcterms:W3CDTF">2026-09-01T14:29:16Z</dcterms:modified>
  <cp:category>Policy</cp:category>
</cp:coreProperties>
</file>