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EDD77B7">
      <w:pPr>
        <w:pBdr/>
        <w:spacing/>
        <w:ind/>
        <w:rPr/>
      </w:pPr>
      <w:r>
        <mc:AlternateContent>
          <mc:Choice Requires="wpg">
            <w:drawing>
              <wp:inline xmlns:wp="http://schemas.openxmlformats.org/drawingml/2006/wordprocessingDrawing" distT="0" distB="0" distL="0" distR="0">
                <wp:extent cx="6400800" cy="16002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84213" name=""/>
                        <pic:cNvPicPr>
                          <a:picLocks noChangeAspect="1"/>
                        </pic:cNvPicPr>
                        <pic:nvPr/>
                      </pic:nvPicPr>
                      <pic:blipFill rotWithShape="1">
                        <a:blip r:embed="rId13"/>
                        <a:stretch/>
                      </pic:blipFill>
                      <pic:spPr bwMode="auto">
                        <a:xfrm>
                          <a:off x="0" y="0"/>
                          <a:ext cx="6400798" cy="1600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504.00pt;height:126.00pt;mso-wrap-distance-left:0.00pt;mso-wrap-distance-top:0.00pt;mso-wrap-distance-right:0.00pt;mso-wrap-distance-bottom:0.00pt;z-index:1;" stroked="false">
                <v:imagedata r:id="rId13" o:title=""/>
                <o:lock v:ext="edit" rotation="t"/>
              </v:shape>
            </w:pict>
          </mc:Fallback>
        </mc:AlternateContent>
      </w:r>
      <w:r/>
    </w:p>
    <w:p w14:paraId="197DA4AB">
      <w:pPr>
        <w:pBdr/>
        <w:spacing/>
        <w:ind/>
        <w:rPr/>
      </w:pPr>
      <w:r/>
      <w:r/>
    </w:p>
    <w:p w14:paraId="0D74E395">
      <w:pPr>
        <w:pBdr/>
        <w:spacing/>
        <w:ind/>
        <w:rPr/>
      </w:pPr>
      <w:r/>
      <w:r/>
    </w:p>
    <w:p>
      <w:pPr>
        <w:pBdr/>
        <w:spacing/>
        <w:ind/>
        <w:rPr/>
      </w:pPr>
      <w:r/>
      <w:r/>
    </w:p>
    <w:p>
      <w:pPr>
        <w:pBdr/>
        <w:spacing/>
        <w:ind/>
        <w:jc w:val="left"/>
        <w:rPr>
          <w:b/>
          <w:bCs/>
          <w:color w:val="1f4e79"/>
          <w:sz w:val="60"/>
          <w:szCs w:val="60"/>
          <w:highlight w:val="none"/>
        </w:rPr>
      </w:pPr>
      <w:r>
        <w:rPr>
          <w:b/>
          <w:color w:val="1f4e79"/>
          <w:sz w:val="60"/>
        </w:rPr>
        <w:t xml:space="preserve">Information Asset Standard</w:t>
      </w:r>
      <w:r>
        <w:rPr>
          <w:b/>
          <w:bCs/>
          <w:color w:val="1f4e79"/>
          <w:sz w:val="60"/>
          <w:szCs w:val="60"/>
          <w:highlight w:val="none"/>
        </w:rPr>
      </w:r>
      <w:r>
        <w:rPr>
          <w:b/>
          <w:bCs/>
          <w:color w:val="1f4e79"/>
          <w:sz w:val="60"/>
          <w:szCs w:val="60"/>
          <w:highlight w:val="none"/>
        </w:rPr>
      </w:r>
    </w:p>
    <w:p w14:paraId="1715952B">
      <w:pPr>
        <w:pBdr/>
        <w:spacing/>
        <w:ind/>
        <w:jc w:val="left"/>
        <w:rPr/>
      </w:pPr>
      <w:r>
        <w:t xml:space="preserve">Official Companion Artifact</w:t>
      </w:r>
      <w:r/>
    </w:p>
    <w:p w14:paraId="5A4A9E3A">
      <w:pPr>
        <w:pBdr/>
        <w:spacing/>
        <w:ind/>
        <w:jc w:val="left"/>
        <w:rPr/>
      </w:pPr>
      <w:r/>
      <w:r/>
    </w:p>
    <w:p>
      <w:pPr>
        <w:pBdr/>
        <w:spacing/>
        <w:ind/>
        <w:rPr>
          <w:highlight w:val="none"/>
        </w:rPr>
      </w:pPr>
      <w:r>
        <w:t xml:space="preserve">This example defines the minimum Arcfield standard for identifying, owning, classifying and maintaining information assets. It clarifies lifecycle metadata, ownership, classification, evidence and review expectations. This plan is the live Arcfield Platform programme in the surveillance cycle after certificate ARC-ISMS (Information Security Management System)-2025-001.</w:t>
      </w:r>
      <w:r>
        <w:rPr>
          <w:highlight w:val="none"/>
        </w:rPr>
      </w:r>
      <w:r>
        <w:rPr>
          <w:highlight w:val="none"/>
        </w:rPr>
      </w:r>
    </w:p>
    <w:tbl>
      <w:tblPr>
        <w:tblStyle w:val="1033"/>
        <w:tblW w:type="dxa" w:w="10080"/>
        <w:jc w:val="left"/>
        <w:tblLayout w:type="fixed"/>
        <w:tblLook w:firstColumn="1" w:firstRow="1" w:lastColumn="0" w:lastRow="0" w:noHBand="0" w:noVBand="1" w:val="04A0"/>
      </w:tblPr>
      <w:tblGrid>
        <w:gridCol w:w="2296"/>
        <w:gridCol w:w="7784"/>
      </w:tblGrid>
      <w:tr>
        <w:trPr>
          <w:tblHeader/>
          <w:cantSplit/>
        </w:trPr>
        <w:tc>
          <w:tcPr>
            <w:tcW w:type="dxa" w:w="2296"/>
            <w:shd w:fill="F7F9FC"/>
          </w:tcPr>
          <w:p>
            <w:r/>
            <w:r>
              <w:rPr>
                <w:b/>
                <w:color w:val="1F6FEB"/>
                <w:sz w:val="18"/>
              </w:rPr>
              <w:t>Field</w:t>
            </w:r>
          </w:p>
        </w:tc>
        <w:tc>
          <w:tcPr>
            <w:tcW w:type="dxa" w:w="7784"/>
            <w:shd w:fill="F7F9FC"/>
          </w:tcPr>
          <w:p>
            <w:r/>
            <w:r>
              <w:rPr>
                <w:b/>
                <w:color w:val="1F6FEB"/>
                <w:sz w:val="18"/>
              </w:rPr>
              <w:t>Value</w:t>
            </w:r>
          </w:p>
        </w:tc>
      </w:tr>
      <w:tr>
        <w:trPr>
          <w:cantSplit/>
        </w:trPr>
        <w:tc>
          <w:tcPr>
            <w:tcW w:type="dxa" w:w="2296"/>
          </w:tcPr>
          <w:p>
            <w:r/>
            <w:r>
              <w:rPr>
                <w:b w:val="0"/>
                <w:color w:val="1F2328"/>
                <w:sz w:val="18"/>
              </w:rPr>
              <w:t>Organization</w:t>
            </w:r>
          </w:p>
        </w:tc>
        <w:tc>
          <w:tcPr>
            <w:tcW w:type="dxa" w:w="7784"/>
          </w:tcPr>
          <w:p>
            <w:r/>
            <w:r>
              <w:rPr>
                <w:b w:val="0"/>
                <w:color w:val="1F2328"/>
                <w:sz w:val="18"/>
              </w:rPr>
              <w:t>Arcfield</w:t>
            </w:r>
          </w:p>
        </w:tc>
      </w:tr>
      <w:tr>
        <w:trPr>
          <w:cantSplit/>
        </w:trPr>
        <w:tc>
          <w:tcPr>
            <w:tcW w:type="dxa" w:w="2296"/>
          </w:tcPr>
          <w:p>
            <w:r/>
            <w:r>
              <w:rPr>
                <w:b w:val="0"/>
                <w:color w:val="1F2328"/>
                <w:sz w:val="18"/>
              </w:rPr>
              <w:t>Version</w:t>
            </w:r>
          </w:p>
        </w:tc>
        <w:tc>
          <w:tcPr>
            <w:tcW w:type="dxa" w:w="7784"/>
          </w:tcPr>
          <w:p>
            <w:r/>
            <w:r>
              <w:rPr>
                <w:b w:val="0"/>
                <w:color w:val="1F2328"/>
                <w:sz w:val="18"/>
              </w:rPr>
              <w:t>1.1</w:t>
            </w:r>
          </w:p>
        </w:tc>
      </w:tr>
      <w:tr>
        <w:trPr>
          <w:cantSplit/>
        </w:trPr>
        <w:tc>
          <w:tcPr>
            <w:tcW w:type="dxa" w:w="2296"/>
          </w:tcPr>
          <w:p>
            <w:r/>
            <w:r>
              <w:rPr>
                <w:b w:val="0"/>
                <w:color w:val="1F2328"/>
                <w:sz w:val="18"/>
              </w:rPr>
              <w:t>Classification</w:t>
            </w:r>
          </w:p>
        </w:tc>
        <w:tc>
          <w:tcPr>
            <w:tcW w:type="dxa" w:w="7784"/>
          </w:tcPr>
          <w:p>
            <w:r/>
            <w:r>
              <w:rPr>
                <w:b w:val="0"/>
                <w:color w:val="1F2328"/>
                <w:sz w:val="18"/>
              </w:rPr>
              <w:t>Internal</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Document Control</w:t>
      </w:r>
    </w:p>
    <w:tbl>
      <w:tblPr>
        <w:tblStyle w:val="1033"/>
        <w:tblW w:w="10080" w:type="dxa"/>
        <w:jc w:val="left"/>
        <w:tblBorders/>
        <w:tblLayout w:type="fixed"/>
        <w:tblLook w:val="04A0" w:firstRow="1" w:lastRow="0" w:firstColumn="1" w:lastColumn="0" w:noHBand="0" w:noVBand="1"/>
      </w:tblPr>
      <w:tblGrid>
        <w:gridCol w:w="2296"/>
        <w:gridCol w:w="7784"/>
      </w:tblGrid>
      <w:tr>
        <w:trPr/>
        <w:tc>
          <w:tcPr>
            <w:tcBorders/>
            <w:tcW w:w="2296" w:type="dxa"/>
            <w:shd w:fill="F7F9FC"/>
          </w:tcPr>
          <w:p>
            <w:pPr>
              <w:pBdr/>
              <w:spacing/>
              <w:ind/>
              <w:rPr/>
            </w:pPr>
            <w:r/>
            <w:r>
              <w:rPr>
                <w:b/>
                <w:color w:val="1F6FEB"/>
                <w:sz w:val="18"/>
              </w:rPr>
              <w:t>Field</w:t>
            </w:r>
          </w:p>
        </w:tc>
        <w:tc>
          <w:tcPr>
            <w:tcBorders/>
            <w:tcW w:w="7784" w:type="dxa"/>
            <w:shd w:fill="F7F9FC"/>
          </w:tcPr>
          <w:p>
            <w:pPr>
              <w:pBdr/>
              <w:spacing/>
              <w:ind/>
              <w:rPr/>
            </w:pPr>
            <w:r/>
            <w:r>
              <w:rPr>
                <w:b/>
                <w:color w:val="1F6FEB"/>
                <w:sz w:val="18"/>
              </w:rPr>
              <w:t>Value</w:t>
            </w:r>
          </w:p>
        </w:tc>
      </w:tr>
      <w:tr>
        <w:trPr/>
        <w:tc>
          <w:tcPr>
            <w:tcBorders/>
            <w:tcW w:w="2296" w:type="dxa"/>
          </w:tcPr>
          <w:p>
            <w:pPr>
              <w:pBdr/>
              <w:spacing/>
              <w:ind/>
              <w:rPr/>
            </w:pPr>
            <w:r/>
            <w:r>
              <w:rPr>
                <w:b w:val="0"/>
                <w:color w:val="1F2328"/>
                <w:sz w:val="18"/>
              </w:rPr>
              <w:t>Organization</w:t>
            </w:r>
          </w:p>
        </w:tc>
        <w:tc>
          <w:tcPr>
            <w:tcBorders/>
            <w:tcW w:w="7784" w:type="dxa"/>
          </w:tcPr>
          <w:p>
            <w:pPr>
              <w:pBdr/>
              <w:spacing/>
              <w:ind/>
              <w:rPr/>
            </w:pPr>
            <w:r/>
            <w:r>
              <w:rPr>
                <w:b w:val="0"/>
                <w:color w:val="1F2328"/>
                <w:sz w:val="18"/>
              </w:rPr>
              <w:t>Arcfield</w:t>
            </w:r>
          </w:p>
        </w:tc>
      </w:tr>
      <w:tr>
        <w:trPr/>
        <w:tc>
          <w:tcPr>
            <w:tcBorders/>
            <w:tcW w:w="2296" w:type="dxa"/>
          </w:tcPr>
          <w:p>
            <w:pPr>
              <w:pBdr/>
              <w:spacing/>
              <w:ind/>
              <w:rPr/>
            </w:pPr>
            <w:r/>
            <w:r>
              <w:rPr>
                <w:b w:val="0"/>
                <w:color w:val="1F2328"/>
                <w:sz w:val="18"/>
              </w:rPr>
              <w:t>Version</w:t>
            </w:r>
          </w:p>
        </w:tc>
        <w:tc>
          <w:tcPr>
            <w:tcBorders/>
            <w:tcW w:w="7784" w:type="dxa"/>
          </w:tcPr>
          <w:p>
            <w:pPr>
              <w:pBdr/>
              <w:spacing/>
              <w:ind/>
              <w:rPr/>
            </w:pPr>
            <w:r/>
            <w:r>
              <w:rPr>
                <w:b w:val="0"/>
                <w:color w:val="1F2328"/>
                <w:sz w:val="18"/>
              </w:rPr>
              <w:t>1.1</w:t>
            </w:r>
          </w:p>
        </w:tc>
      </w:tr>
      <w:tr>
        <w:trPr/>
        <w:tc>
          <w:tcPr>
            <w:tcBorders/>
            <w:tcW w:w="2296" w:type="dxa"/>
          </w:tcPr>
          <w:p>
            <w:pPr>
              <w:pBdr/>
              <w:spacing/>
              <w:ind/>
              <w:rPr/>
            </w:pPr>
            <w:r/>
            <w:r>
              <w:rPr>
                <w:b w:val="0"/>
                <w:color w:val="1F2328"/>
                <w:sz w:val="18"/>
              </w:rPr>
              <w:t>Status</w:t>
            </w:r>
          </w:p>
        </w:tc>
        <w:tc>
          <w:tcPr>
            <w:tcBorders/>
            <w:tcW w:w="7784" w:type="dxa"/>
          </w:tcPr>
          <w:p>
            <w:pPr>
              <w:pBdr/>
              <w:spacing/>
              <w:ind/>
              <w:rPr/>
            </w:pPr>
            <w:r/>
            <w:r>
              <w:rPr>
                <w:b w:val="0"/>
                <w:color w:val="1F2328"/>
                <w:sz w:val="18"/>
              </w:rPr>
              <w:t>Approved</w:t>
            </w:r>
          </w:p>
        </w:tc>
      </w:tr>
      <w:tr>
        <w:trPr/>
        <w:tc>
          <w:tcPr>
            <w:tcBorders/>
            <w:tcW w:w="2296" w:type="dxa"/>
          </w:tcPr>
          <w:p>
            <w:pPr>
              <w:pBdr/>
              <w:spacing/>
              <w:ind/>
              <w:rPr/>
            </w:pPr>
            <w:r/>
            <w:r>
              <w:rPr>
                <w:b w:val="0"/>
                <w:color w:val="1F2328"/>
                <w:sz w:val="18"/>
              </w:rPr>
              <w:t>Owner</w:t>
            </w:r>
          </w:p>
        </w:tc>
        <w:tc>
          <w:tcPr>
            <w:tcBorders/>
            <w:tcW w:w="7784" w:type="dxa"/>
          </w:tcPr>
          <w:p>
            <w:pPr>
              <w:pBdr/>
              <w:spacing/>
              <w:ind/>
              <w:rPr/>
            </w:pPr>
            <w:r/>
            <w:r>
              <w:rPr>
                <w:b w:val="0"/>
                <w:color w:val="1F2328"/>
                <w:sz w:val="18"/>
              </w:rPr>
              <w:t>ISMS Manager</w:t>
            </w:r>
          </w:p>
        </w:tc>
      </w:tr>
      <w:tr>
        <w:trPr/>
        <w:tc>
          <w:tcPr>
            <w:tcBorders/>
            <w:tcW w:w="2296" w:type="dxa"/>
          </w:tcPr>
          <w:p>
            <w:pPr>
              <w:pBdr/>
              <w:spacing/>
              <w:ind/>
              <w:rPr/>
            </w:pPr>
            <w:r/>
            <w:r>
              <w:rPr>
                <w:b w:val="0"/>
                <w:color w:val="1F2328"/>
                <w:sz w:val="18"/>
              </w:rPr>
              <w:t>Approver</w:t>
            </w:r>
          </w:p>
        </w:tc>
        <w:tc>
          <w:tcPr>
            <w:tcBorders/>
            <w:tcW w:w="7784" w:type="dxa"/>
          </w:tcPr>
          <w:p>
            <w:pPr>
              <w:pBdr/>
              <w:spacing/>
              <w:ind/>
              <w:rPr/>
            </w:pPr>
            <w:r/>
            <w:r>
              <w:rPr>
                <w:b w:val="0"/>
                <w:color w:val="1F2328"/>
                <w:sz w:val="18"/>
              </w:rPr>
              <w:t>Security Lead</w:t>
            </w:r>
          </w:p>
        </w:tc>
      </w:tr>
      <w:tr>
        <w:trPr/>
        <w:tc>
          <w:tcPr>
            <w:tcBorders/>
            <w:tcW w:w="2296" w:type="dxa"/>
            <w:vMerge w:val="restart"/>
          </w:tcPr>
          <w:p w14:paraId="31D2F00F">
            <w:pPr>
              <w:pBdr/>
              <w:spacing/>
              <w:ind/>
              <w:rPr>
                <w:b/>
              </w:rPr>
            </w:pPr>
            <w:r/>
            <w:r>
              <w:rPr>
                <w:b w:val="0"/>
                <w:color w:val="1F2328"/>
                <w:sz w:val="18"/>
              </w:rPr>
              <w:t>Classification</w:t>
            </w:r>
          </w:p>
        </w:tc>
        <w:tc>
          <w:tcPr>
            <w:tcBorders/>
            <w:tcW w:w="7784" w:type="dxa"/>
            <w:vMerge w:val="restart"/>
          </w:tcPr>
          <w:p w14:paraId="746BB0DF">
            <w:pPr>
              <w:pBdr/>
              <w:spacing/>
              <w:ind/>
              <w:rPr/>
            </w:pPr>
            <w:r/>
            <w:r>
              <w:rPr>
                <w:b w:val="0"/>
                <w:color w:val="1F2328"/>
                <w:sz w:val="18"/>
              </w:rPr>
              <w:t>Internal</w:t>
            </w:r>
          </w:p>
        </w:tc>
      </w:tr>
      <w:tr>
        <w:trPr/>
        <w:tc>
          <w:tcPr>
            <w:tcBorders/>
            <w:tcW w:w="2296" w:type="dxa"/>
            <w:vMerge w:val="restart"/>
          </w:tcPr>
          <w:p w14:paraId="7A2C2A7F">
            <w:pPr>
              <w:pBdr/>
              <w:spacing/>
              <w:ind/>
              <w:rPr>
                <w:b/>
              </w:rPr>
            </w:pPr>
            <w:r/>
            <w:r>
              <w:rPr>
                <w:b w:val="0"/>
                <w:color w:val="1F2328"/>
                <w:sz w:val="18"/>
              </w:rPr>
              <w:t>Effective Date</w:t>
            </w:r>
          </w:p>
        </w:tc>
        <w:tc>
          <w:tcPr>
            <w:tcBorders/>
            <w:tcW w:w="7784" w:type="dxa"/>
            <w:vMerge w:val="restart"/>
          </w:tcPr>
          <w:p w14:paraId="7DB152E7">
            <w:pPr>
              <w:pBdr/>
              <w:spacing/>
              <w:ind/>
              <w:rPr/>
            </w:pPr>
            <w:r/>
            <w:r>
              <w:rPr>
                <w:b w:val="0"/>
                <w:color w:val="1F2328"/>
                <w:sz w:val="18"/>
              </w:rPr>
              <w:t>2026-09-11</w:t>
            </w:r>
          </w:p>
        </w:tc>
      </w:tr>
      <w:tr>
        <w:trPr/>
        <w:tc>
          <w:tcPr>
            <w:tcBorders/>
            <w:tcW w:w="2296" w:type="dxa"/>
            <w:vMerge w:val="restart"/>
          </w:tcPr>
          <w:p w14:paraId="25D44444">
            <w:pPr>
              <w:pBdr/>
              <w:spacing/>
              <w:ind/>
              <w:rPr>
                <w:b/>
              </w:rPr>
            </w:pPr>
            <w:r/>
            <w:r>
              <w:rPr>
                <w:b w:val="0"/>
                <w:color w:val="1F2328"/>
                <w:sz w:val="18"/>
              </w:rPr>
              <w:t>Next Review Date</w:t>
            </w:r>
          </w:p>
        </w:tc>
        <w:tc>
          <w:tcPr>
            <w:tcBorders/>
            <w:tcW w:w="7784" w:type="dxa"/>
            <w:vMerge w:val="restart"/>
          </w:tcPr>
          <w:p w14:paraId="79776442">
            <w:pPr>
              <w:pBdr/>
              <w:spacing/>
              <w:ind/>
              <w:rPr/>
            </w:pPr>
            <w:r/>
            <w:r>
              <w:rPr>
                <w:b w:val="0"/>
                <w:color w:val="1F2328"/>
                <w:sz w:val="18"/>
              </w:rPr>
              <w:t>2027-09-11</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Revision history</w:t>
      </w:r>
    </w:p>
    <w:p>
      <w:r>
        <w:rPr>
          <w:b w:val="0"/>
        </w:rPr>
        <w:t>A published change is a new row. Do not edit an approved version in place.</w:t>
      </w:r>
    </w:p>
    <w:tbl>
      <w:tblPr>
        <w:tblStyle w:val="1033"/>
        <w:tblW w:type="dxa" w:w="10080"/>
        <w:jc w:val="left"/>
        <w:tblLayout w:type="fixed"/>
        <w:tblLook w:firstColumn="1" w:firstRow="1" w:lastColumn="0" w:lastRow="0" w:noHBand="0" w:noVBand="1" w:val="04A0"/>
      </w:tblPr>
      <w:tblGrid>
        <w:gridCol w:w="1288"/>
        <w:gridCol w:w="1720"/>
        <w:gridCol w:w="5505"/>
        <w:gridCol w:w="1567"/>
      </w:tblGrid>
      <w:tr>
        <w:trPr>
          <w:tblHeader/>
          <w:cantSplit/>
        </w:trPr>
        <w:tc>
          <w:tcPr>
            <w:tcW w:type="dxa" w:w="1288"/>
            <w:shd w:fill="F7F9FC"/>
          </w:tcPr>
          <w:p>
            <w:r/>
            <w:r>
              <w:rPr>
                <w:b/>
                <w:color w:val="1F6FEB"/>
                <w:sz w:val="18"/>
              </w:rPr>
              <w:t>Version</w:t>
            </w:r>
          </w:p>
        </w:tc>
        <w:tc>
          <w:tcPr>
            <w:tcW w:type="dxa" w:w="1720"/>
            <w:shd w:fill="F7F9FC"/>
          </w:tcPr>
          <w:p>
            <w:r/>
            <w:r>
              <w:rPr>
                <w:b/>
                <w:color w:val="1F6FEB"/>
                <w:sz w:val="18"/>
              </w:rPr>
              <w:t>Date</w:t>
            </w:r>
          </w:p>
        </w:tc>
        <w:tc>
          <w:tcPr>
            <w:tcW w:type="dxa" w:w="5505"/>
            <w:shd w:fill="F7F9FC"/>
          </w:tcPr>
          <w:p>
            <w:r/>
            <w:r>
              <w:rPr>
                <w:b/>
                <w:color w:val="1F6FEB"/>
                <w:sz w:val="18"/>
              </w:rPr>
              <w:t>Change</w:t>
            </w:r>
          </w:p>
        </w:tc>
        <w:tc>
          <w:tcPr>
            <w:tcW w:type="dxa" w:w="1567"/>
            <w:shd w:fill="F7F9FC"/>
          </w:tcPr>
          <w:p>
            <w:r/>
            <w:r>
              <w:rPr>
                <w:b/>
                <w:color w:val="1F6FEB"/>
                <w:sz w:val="18"/>
              </w:rPr>
              <w:t>Approved by</w:t>
            </w:r>
          </w:p>
        </w:tc>
      </w:tr>
      <w:tr>
        <w:trPr>
          <w:cantSplit/>
        </w:trPr>
        <w:tc>
          <w:tcPr>
            <w:tcW w:type="dxa" w:w="1288"/>
          </w:tcPr>
          <w:p>
            <w:r/>
            <w:r>
              <w:rPr>
                <w:b w:val="0"/>
                <w:color w:val="1F2328"/>
                <w:sz w:val="18"/>
              </w:rPr>
              <w:t>1.0</w:t>
            </w:r>
          </w:p>
        </w:tc>
        <w:tc>
          <w:tcPr>
            <w:tcW w:type="dxa" w:w="1720"/>
          </w:tcPr>
          <w:p>
            <w:r/>
            <w:r>
              <w:rPr>
                <w:b w:val="0"/>
                <w:color w:val="1F2328"/>
                <w:sz w:val="18"/>
              </w:rPr>
              <w:t>2026-08-29</w:t>
            </w:r>
          </w:p>
        </w:tc>
        <w:tc>
          <w:tcPr>
            <w:tcW w:type="dxa" w:w="5505"/>
          </w:tcPr>
          <w:p>
            <w:r/>
            <w:r>
              <w:rPr>
                <w:b w:val="0"/>
                <w:color w:val="1F2328"/>
                <w:sz w:val="18"/>
              </w:rPr>
              <w:t>Initial Arcfield Platform publication.</w:t>
            </w:r>
          </w:p>
        </w:tc>
        <w:tc>
          <w:tcPr>
            <w:tcW w:type="dxa" w:w="1567"/>
          </w:tcPr>
          <w:p>
            <w:r/>
            <w:r>
              <w:rPr>
                <w:b w:val="0"/>
                <w:color w:val="1F2328"/>
                <w:sz w:val="18"/>
              </w:rPr>
              <w:t>Security Lead</w:t>
            </w:r>
          </w:p>
        </w:tc>
      </w:tr>
      <w:tr>
        <w:trPr>
          <w:cantSplit/>
        </w:trPr>
        <w:tc>
          <w:tcPr>
            <w:tcW w:type="dxa" w:w="1288"/>
          </w:tcPr>
          <w:p>
            <w:r/>
            <w:r>
              <w:rPr>
                <w:b w:val="0"/>
                <w:color w:val="1F2328"/>
                <w:sz w:val="18"/>
              </w:rPr>
              <w:t>1.1</w:t>
            </w:r>
          </w:p>
        </w:tc>
        <w:tc>
          <w:tcPr>
            <w:tcW w:type="dxa" w:w="1720"/>
          </w:tcPr>
          <w:p>
            <w:r/>
            <w:r>
              <w:rPr>
                <w:b w:val="0"/>
                <w:color w:val="1F2328"/>
                <w:sz w:val="18"/>
              </w:rPr>
              <w:t>2026-09-11</w:t>
            </w:r>
          </w:p>
        </w:tc>
        <w:tc>
          <w:tcPr>
            <w:tcW w:type="dxa" w:w="5505"/>
          </w:tcPr>
          <w:p>
            <w:r/>
            <w:r>
              <w:rPr>
                <w:b w:val="0"/>
                <w:color w:val="1F2328"/>
                <w:sz w:val="18"/>
              </w:rPr>
              <w:t>Approved Arcfield worked example after the 11 September 2026 internal audit.</w:t>
            </w:r>
          </w:p>
        </w:tc>
        <w:tc>
          <w:tcPr>
            <w:tcW w:type="dxa" w:w="1567"/>
          </w:tcPr>
          <w:p>
            <w:r/>
            <w:r>
              <w:rPr>
                <w:b w:val="0"/>
                <w:color w:val="1F2328"/>
                <w:sz w:val="18"/>
              </w:rPr>
              <w:t>Security Lead</w:t>
            </w:r>
          </w:p>
        </w:tc>
      </w:tr>
    </w:tbl>
    <w:p>
      <w:pPr>
        <w:spacing w:before="0" w:after="120"/>
      </w:pPr>
    </w:p>
    <w:p w14:paraId="0A20EDB8">
      <w:pPr>
        <w:pBdr/>
        <w:spacing/>
        <w:ind/>
        <w:rPr/>
      </w:pPr>
      <w:r>
        <w:rPr>
          <w:highlight w:val="none"/>
        </w:rPr>
      </w:r>
      <w:r>
        <w:rPr>
          <w:highlight w:val="none"/>
        </w:rPr>
      </w:r>
      <w:r/>
    </w:p>
    <w:p w14:paraId="7F176C86">
      <w:pPr>
        <w:pBdr/>
        <w:spacing/>
        <w:ind/>
        <w:rPr>
          <w:highlight w:val="none"/>
        </w:rPr>
      </w:pPr>
      <w:r>
        <w:rPr>
          <w:highlight w:val="none"/>
        </w:rPr>
      </w:r>
      <w:r>
        <w:rPr>
          <w:highlight w:val="none"/>
        </w:rPr>
      </w:r>
      <w:r>
        <w:rPr>
          <w:highlight w:val="none"/>
        </w:rPr>
      </w:r>
    </w:p>
    <w:p w14:paraId="39C4E518">
      <w:pPr>
        <w:pBdr/>
        <w:spacing/>
        <w:ind/>
        <w:rPr>
          <w:highlight w:val="none"/>
        </w:rPr>
      </w:pPr>
      <w:r>
        <w:rPr>
          <w:highlight w:val="none"/>
        </w:rPr>
      </w:r>
      <w:r>
        <w:rPr>
          <w:highlight w:val="none"/>
        </w:rPr>
      </w:r>
      <w:r>
        <w:rPr>
          <w:highlight w:val="none"/>
        </w:rPr>
      </w:r>
    </w:p>
    <w:p>
      <w:pPr>
        <w:pBdr/>
        <w:spacing/>
        <w:ind/>
        <w:rPr>
          <w:highlight w:val="none"/>
        </w:rPr>
      </w:pPr>
      <w:r>
        <w:br w:type="page" w:clear="all"/>
      </w:r>
      <w:r>
        <w:rPr>
          <w:highlight w:val="none"/>
        </w:rPr>
      </w:r>
      <w:r>
        <w:rPr>
          <w:highlight w:val="none"/>
        </w:rPr>
      </w:r>
    </w:p>
    <w:p>
      <w:pPr>
        <w:pBdr/>
        <w:spacing/>
        <w:ind/>
        <w:rPr>
          <w:rFonts w:ascii="Calibri" w:hAnsi="Calibri" w:eastAsia="Calibri" w:cs="Calibri"/>
          <w:b/>
          <w:bCs/>
          <w:color w:val="376092" w:themeColor="accent1" w:themeShade="BF"/>
          <w:sz w:val="28"/>
          <w:szCs w:val="28"/>
          <w14:ligatures w14:val="none"/>
        </w:rPr>
      </w:pPr>
      <w:r>
        <w:rPr>
          <w:rFonts w:ascii="Calibri" w:hAnsi="Calibri" w:eastAsia="Calibri" w:cs="Calibri"/>
          <w:b/>
          <w:bCs/>
          <w:color w:val="376092" w:themeColor="accent1" w:themeShade="BF"/>
          <w:sz w:val="28"/>
          <w:szCs w:val="28"/>
        </w:rPr>
        <w:t xml:space="preserve">Legal Disclaimer</w:t>
      </w:r>
      <w:r>
        <w:rPr>
          <w:rFonts w:ascii="Calibri" w:hAnsi="Calibri" w:eastAsia="Calibri" w:cs="Calibri"/>
          <w:b/>
          <w:bCs/>
          <w:color w:val="376092" w:themeColor="accent1" w:themeShade="BF"/>
          <w:sz w:val="28"/>
          <w:szCs w:val="28"/>
          <w14:ligatures w14:val="none"/>
        </w:rPr>
      </w:r>
      <w:r>
        <w:rPr>
          <w:rFonts w:ascii="Calibri" w:hAnsi="Calibri" w:eastAsia="Calibri" w:cs="Calibri"/>
          <w:b/>
          <w:bCs/>
          <w:color w:val="376092" w:themeColor="accent1" w:themeShade="BF"/>
          <w:sz w:val="28"/>
          <w:szCs w:val="28"/>
          <w14:ligatures w14:val="none"/>
        </w:rPr>
      </w:r>
    </w:p>
    <w:p>
      <w:pPr>
        <w:pBdr/>
        <w:spacing/>
        <w:ind/>
        <w:rPr/>
      </w:pPr>
      <w:r>
        <w:t xml:space="preserve">This companion artifact is provided for implementation support and does not constitute legal advice. Validate all controls, evidence and records against your organisation, scope, risk context and applicable requirements.</w:t>
      </w:r>
      <w:r/>
    </w:p>
    <w:p>
      <w:pPr>
        <w:pBdr/>
        <w:spacing/>
        <w:ind/>
        <w:rPr/>
      </w:pPr>
      <w:r>
        <w:t xml:space="preserve">© </w:t>
      </w:r>
      <w:r>
        <w:rPr>
          <w:lang w:val="es-ES"/>
        </w:rPr>
        <w:t xml:space="preserve">2026. MessemerTech O</w:t>
      </w:r>
      <w:r>
        <w:rPr>
          <w:lang w:val="es-ES"/>
        </w:rPr>
        <w:t xml:space="preserve">Ü</w:t>
      </w:r>
      <w:r>
        <w:t xml:space="preserve">. ExportableProof is an imprint of MessemerTech. All rights reserved.</w:t>
      </w:r>
      <w:r/>
    </w:p>
    <w:p>
      <w:pPr>
        <w:pBdr/>
        <w:spacing/>
        <w:ind/>
        <w:rPr/>
      </w:pPr>
      <w:r>
        <w:br w:type="page" w:clear="all"/>
      </w:r>
      <w:r/>
    </w:p>
    <w:p>
      <w:pPr>
        <w:pStyle w:val="989"/>
        <w:suppressLineNumbers w:val="false"/>
        <w:pBdr>
          <w:top w:val="none" w:color="000000" w:sz="4" w:space="0"/>
          <w:left w:val="none" w:color="000000" w:sz="4" w:space="0"/>
          <w:bottom w:val="none" w:color="000000" w:sz="8" w:space="0"/>
          <w:right w:val="none" w:color="000000" w:sz="4" w:space="0"/>
          <w:between w:val="none" w:color="000000" w:sz="4" w:space="0"/>
        </w:pBdr>
        <w:spacing/>
        <w:ind/>
        <w:rPr>
          <w:b/>
          <w:bCs/>
          <w:color w:val="376092" w:themeColor="accent1" w:themeShade="BF"/>
          <w:sz w:val="28"/>
          <w:szCs w:val="28"/>
        </w:rPr>
      </w:pPr>
      <w:r>
        <w:rPr>
          <w:b/>
          <w:bCs/>
          <w:color w:val="376092" w:themeColor="accent1" w:themeShade="BF"/>
          <w:sz w:val="28"/>
          <w:szCs w:val="28"/>
        </w:rPr>
        <w:t xml:space="preserve">Table of </w:t>
      </w:r>
      <w:r>
        <w:rPr>
          <w:b/>
          <w:bCs/>
          <w:color w:val="376092" w:themeColor="accent1" w:themeShade="BF"/>
          <w:sz w:val="28"/>
          <w:szCs w:val="28"/>
        </w:rPr>
        <w:t xml:space="preserve">Contents</w:t>
      </w:r>
      <w:r>
        <w:rPr>
          <w:b/>
          <w:bCs/>
          <w:color w:val="376092" w:themeColor="accent1" w:themeShade="BF"/>
          <w:sz w:val="28"/>
          <w:szCs w:val="28"/>
        </w:rPr>
      </w:r>
      <w:r>
        <w:rPr>
          <w:b/>
          <w:bCs/>
          <w:color w:val="376092" w:themeColor="accent1" w:themeShade="BF"/>
          <w:sz w:val="28"/>
          <w:szCs w:val="28"/>
        </w:rPr>
      </w:r>
    </w:p>
    <w:sdt>
      <w:sdtPr>
        <w15:appearance w15:val="boundingBox"/>
        <w:placeholder>
          <w:docPart w:val="DefaultPlaceholder_TEXT"/>
        </w:placeholder>
        <w:docPartObj>
          <w:docPartGallery w:val="Table of Contents"/>
          <w:docPartUnique w:val="true"/>
        </w:docPartObj>
        <w:rPr/>
      </w:sdtPr>
      <w:sdtContent>
        <w:p w14:paraId="550DFED3">
          <w:pPr>
            <w:pStyle w:val="957"/>
            <w:pBdr/>
            <w:tabs>
              <w:tab w:val="right" w:leader="dot" w:pos="10080"/>
            </w:tabs>
            <w:spacing/>
            <w:ind/>
            <w:rPr/>
          </w:pPr>
          <w:r>
            <w:fldChar w:fldCharType="begin"/>
          </w:r>
          <w:r>
            <w:instrText xml:space="preserve">TOC \o "1-9" \h </w:instrText>
          </w:r>
          <w:r>
            <w:fldChar w:fldCharType="separate"/>
          </w:r>
          <w:r/>
          <w:r/>
        </w:p>
        <w:p>
          <w:pPr>
            <w:pStyle w:val="957"/>
            <w:tabs>
              <w:tab w:val="right" w:leader="dot" w:pos="10080"/>
            </w:tabs>
          </w:pPr>
          <w:hyperlink w:anchor="_TocRAM001" w:history="1">
            <w:r>
              <w:rPr>
                <w:rStyle w:val="955"/>
              </w:rPr>
              <w:t xml:space="preserve">Information asset standard</w:t>
            </w:r>
            <w:r>
              <w:tab/>
            </w:r>
            <w:r>
              <w:fldChar w:fldCharType="begin"/>
              <w:instrText xml:space="preserve"> PAGEREF _TocRAM001 \h </w:instrText>
              <w:fldChar w:fldCharType="separate"/>
              <w:t xml:space="preserve"> </w:t>
              <w:fldChar w:fldCharType="end"/>
            </w:r>
          </w:hyperlink>
        </w:p>
        <w:p>
          <w:pPr>
            <w:pStyle w:val="958"/>
            <w:tabs>
              <w:tab w:val="right" w:leader="dot" w:pos="10080"/>
            </w:tabs>
          </w:pPr>
          <w:hyperlink w:anchor="_TocRAM002" w:history="1">
            <w:r>
              <w:rPr>
                <w:rStyle w:val="955"/>
              </w:rPr>
              <w:t xml:space="preserve">What this plan is</w:t>
            </w:r>
            <w:r>
              <w:tab/>
            </w:r>
            <w:r>
              <w:fldChar w:fldCharType="begin"/>
              <w:instrText xml:space="preserve"> PAGEREF _TocRAM002 \h </w:instrText>
              <w:fldChar w:fldCharType="separate"/>
              <w:t xml:space="preserve"> </w:t>
              <w:fldChar w:fldCharType="end"/>
            </w:r>
          </w:hyperlink>
        </w:p>
        <w:p>
          <w:pPr>
            <w:pStyle w:val="958"/>
            <w:tabs>
              <w:tab w:val="right" w:leader="dot" w:pos="10080"/>
            </w:tabs>
          </w:pPr>
          <w:hyperlink w:anchor="_TocRAM003" w:history="1">
            <w:r>
              <w:rPr>
                <w:rStyle w:val="955"/>
              </w:rPr>
              <w:t xml:space="preserve">Scope</w:t>
            </w:r>
            <w:r>
              <w:tab/>
            </w:r>
            <w:r>
              <w:fldChar w:fldCharType="begin"/>
              <w:instrText xml:space="preserve"> PAGEREF _TocRAM003 \h </w:instrText>
              <w:fldChar w:fldCharType="separate"/>
              <w:t xml:space="preserve"> </w:t>
              <w:fldChar w:fldCharType="end"/>
            </w:r>
          </w:hyperlink>
        </w:p>
        <w:p>
          <w:pPr>
            <w:pStyle w:val="958"/>
            <w:tabs>
              <w:tab w:val="right" w:leader="dot" w:pos="10080"/>
            </w:tabs>
          </w:pPr>
          <w:hyperlink w:anchor="_TocRAM004" w:history="1">
            <w:r>
              <w:rPr>
                <w:rStyle w:val="955"/>
              </w:rPr>
              <w:t xml:space="preserve">Terms used here</w:t>
            </w:r>
            <w:r>
              <w:tab/>
            </w:r>
            <w:r>
              <w:fldChar w:fldCharType="begin"/>
              <w:instrText xml:space="preserve"> PAGEREF _TocRAM004 \h </w:instrText>
              <w:fldChar w:fldCharType="separate"/>
              <w:t xml:space="preserve"> </w:t>
              <w:fldChar w:fldCharType="end"/>
            </w:r>
          </w:hyperlink>
        </w:p>
        <w:p>
          <w:pPr>
            <w:pStyle w:val="958"/>
            <w:tabs>
              <w:tab w:val="right" w:leader="dot" w:pos="10080"/>
            </w:tabs>
          </w:pPr>
          <w:hyperlink w:anchor="_TocRAM005" w:history="1">
            <w:r>
              <w:rPr>
                <w:rStyle w:val="955"/>
              </w:rPr>
              <w:t xml:space="preserve">Information asset standard / template content</w:t>
            </w:r>
            <w:r>
              <w:tab/>
            </w:r>
            <w:r>
              <w:fldChar w:fldCharType="begin"/>
              <w:instrText xml:space="preserve"> PAGEREF _TocRAM005 \h </w:instrText>
              <w:fldChar w:fldCharType="separate"/>
              <w:t xml:space="preserve"> </w:t>
              <w:fldChar w:fldCharType="end"/>
            </w:r>
          </w:hyperlink>
        </w:p>
        <w:p>
          <w:pPr>
            <w:pStyle w:val="957"/>
            <w:tabs>
              <w:tab w:val="right" w:leader="dot" w:pos="10080"/>
            </w:tabs>
          </w:pPr>
          <w:hyperlink w:anchor="_TocRAM006" w:history="1">
            <w:r>
              <w:rPr>
                <w:rStyle w:val="955"/>
              </w:rPr>
              <w:t xml:space="preserve">Evidence and records</w:t>
            </w:r>
            <w:r>
              <w:tab/>
            </w:r>
            <w:r>
              <w:fldChar w:fldCharType="begin"/>
              <w:instrText xml:space="preserve"> PAGEREF _TocRAM006 \h </w:instrText>
              <w:fldChar w:fldCharType="separate"/>
              <w:t xml:space="preserve"> </w:t>
              <w:fldChar w:fldCharType="end"/>
            </w:r>
          </w:hyperlink>
        </w:p>
        <w:p>
          <w:pPr>
            <w:pStyle w:val="957"/>
            <w:tabs>
              <w:tab w:val="right" w:leader="dot" w:pos="10080"/>
            </w:tabs>
          </w:pPr>
          <w:hyperlink w:anchor="_TocRAM007" w:history="1">
            <w:r>
              <w:rPr>
                <w:rStyle w:val="955"/>
              </w:rPr>
              <w:t xml:space="preserve">References</w:t>
            </w:r>
            <w:r>
              <w:tab/>
            </w:r>
            <w:r>
              <w:fldChar w:fldCharType="begin"/>
              <w:instrText xml:space="preserve"> PAGEREF _TocRAM007 \h </w:instrText>
              <w:fldChar w:fldCharType="separate"/>
              <w:t xml:space="preserve"> </w:t>
              <w:fldChar w:fldCharType="end"/>
            </w:r>
          </w:hyperlink>
        </w:p>
        <w:p>
          <w:pPr>
            <w:pStyle w:val="958"/>
            <w:tabs>
              <w:tab w:val="right" w:leader="dot" w:pos="10080"/>
            </w:tabs>
          </w:pPr>
          <w:hyperlink w:anchor="_TocRAM008" w:history="1">
            <w:r>
              <w:rPr>
                <w:rStyle w:val="955"/>
              </w:rPr>
              <w:t xml:space="preserve">Linked documents</w:t>
            </w:r>
            <w:r>
              <w:tab/>
            </w:r>
            <w:r>
              <w:fldChar w:fldCharType="begin"/>
              <w:instrText xml:space="preserve"> PAGEREF _TocRAM008 \h </w:instrText>
              <w:fldChar w:fldCharType="separate"/>
              <w:t xml:space="preserve"> </w:t>
              <w:fldChar w:fldCharType="end"/>
            </w:r>
          </w:hyperlink>
        </w:p>
        <w:p>
          <w:pPr>
            <w:pStyle w:val="958"/>
            <w:tabs>
              <w:tab w:val="right" w:leader="dot" w:pos="10080"/>
            </w:tabs>
          </w:pPr>
          <w:hyperlink w:anchor="_TocRAM009" w:history="1">
            <w:r>
              <w:rPr>
                <w:rStyle w:val="955"/>
              </w:rPr>
              <w:t xml:space="preserve">External references</w:t>
            </w:r>
            <w:r>
              <w:tab/>
            </w:r>
            <w:r>
              <w:fldChar w:fldCharType="begin"/>
              <w:instrText xml:space="preserve"> PAGEREF _TocRAM009 \h </w:instrText>
              <w:fldChar w:fldCharType="separate"/>
              <w:t xml:space="preserve"> </w:t>
              <w:fldChar w:fldCharType="end"/>
            </w:r>
          </w:hyperlink>
        </w:p>
        <w:p w14:paraId="2B72CC78">
          <w:pPr>
            <w:pBdr/>
            <w:spacing/>
            <w:ind/>
            <w:rPr/>
          </w:pPr>
          <w:r>
            <w:fldChar w:fldCharType="end"/>
          </w:r>
          <w:r/>
        </w:p>
      </w:sdtContent>
    </w:sdt>
    <w:p>
      <w:r>
        <w:br w:type="page"/>
      </w:r>
    </w:p>
    <w:p>
      <w:pPr>
        <w:keepNext w:val="true"/>
        <w:keepLines w:val="true"/>
        <w:pBdr/>
        <w:spacing w:after="0" w:before="480"/>
        <w:ind/>
        <w:outlineLvl w:val="9"/>
      </w:pPr>
      <w:bookmarkStart w:id="1" w:name="ref_instructions"/>
      <w:r>
        <w:rPr>
          <w:rFonts w:asciiTheme="majorHAnsi" w:hAnsiTheme="majorHAnsi" w:eastAsiaTheme="majorEastAsia" w:cstheme="majorBidi"/>
          <w:b/>
          <w:bCs/>
          <w:color w:val="365f91" w:themeColor="accent1" w:themeShade="BF"/>
          <w:sz w:val="28"/>
          <w:szCs w:val="28"/>
        </w:rPr>
        <w:t>Instructions</w:t>
      </w:r>
      <w:bookmarkEnd w:id="1"/>
    </w:p>
    <w:p>
      <w:r>
        <w:rPr>
          <w:b w:val="0"/>
        </w:rPr>
        <w:t>Copy this file as the controlled Word master for your ISMS. The Arcfield identity fields on the cover are the approved worked example. Complete the steps below when you adopt the file for your organization.</w:t>
      </w:r>
    </w:p>
    <w:p>
      <w:pPr>
        <w:pStyle w:val="1006"/>
        <w:ind w:left="360" w:hanging="259"/>
        <w:numPr>
          <w:ilvl w:val="0"/>
          <w:numId w:val="10"/>
        </w:numPr>
      </w:pPr>
      <w:r>
        <w:rPr>
          <w:b w:val="0"/>
        </w:rPr>
        <w:t>Fill the cover identity fields (Organization, Version, Classification, Owner, Approver, Effective Date and Next Review Date) when you adopt this file. The Arcfield values shown here are the approved worked example.</w:t>
      </w:r>
    </w:p>
    <w:p>
      <w:pPr>
        <w:pStyle w:val="1006"/>
        <w:ind w:left="360" w:hanging="259"/>
        <w:numPr>
          <w:ilvl w:val="0"/>
          <w:numId w:val="10"/>
        </w:numPr>
      </w:pPr>
      <w:r>
        <w:rPr>
          <w:b w:val="0"/>
        </w:rPr>
        <w:t>Issue your own version and a new Revision history row. Do not edit an approved version in place.</w:t>
      </w:r>
    </w:p>
    <w:p>
      <w:pPr>
        <w:pStyle w:val="1006"/>
        <w:ind w:left="360" w:hanging="259"/>
        <w:numPr>
          <w:ilvl w:val="0"/>
          <w:numId w:val="10"/>
        </w:numPr>
      </w:pPr>
      <w:r>
        <w:rPr>
          <w:b w:val="0"/>
        </w:rPr>
        <w:t>Cite this approved version from related records. Do not copy this file into those records.</w:t>
      </w:r>
    </w:p>
    <w:p>
      <w:pPr>
        <w:spacing w:after="0"/>
      </w:pPr>
    </w:p>
    <w:tbl>
      <w:tblPr>
        <w:tblStyle w:val="1033"/>
        <w:tblW w:type="auto" w:w="0"/>
        <w:tblLook w:firstColumn="1" w:firstRow="1" w:lastColumn="0" w:lastRow="0" w:noHBand="0" w:noVBand="1" w:val="04A0"/>
      </w:tblPr>
      <w:tblGrid>
        <w:gridCol w:w="10080"/>
      </w:tblGrid>
      <w:tr>
        <w:tc>
          <w:tcPr>
            <w:tcW w:type="dxa" w:w="10080"/>
            <w:shd w:fill="EAF3FF"/>
            <w:tcBorders>
              <w:top w:val="single" w:sz="8" w:space="0" w:color="8CB4FF"/>
              <w:left w:val="single" w:sz="8" w:space="0" w:color="8CB4FF"/>
              <w:bottom w:val="single" w:sz="8" w:space="0" w:color="8CB4FF"/>
              <w:right w:val="single" w:sz="8" w:space="0" w:color="8CB4FF"/>
            </w:tcBorders>
          </w:tcPr>
          <w:p>
            <w:pPr>
              <w:spacing w:before="80" w:after="80"/>
              <w:jc w:val="left"/>
            </w:pPr>
            <w:r>
              <w:rPr>
                <w:b w:val="0"/>
              </w:rPr>
              <w:t>Hint: Apply Instructions with named owners, systems and exportable evidence. Do not leave this chapter as a heading plus a bare table.</w:t>
              <w:br/>
              <w:br/>
              <w:t>Book reference: Implementation &amp; Certification, Asset Management &amp; Information Classification</w:t>
            </w:r>
          </w:p>
        </w:tc>
      </w:tr>
    </w:tbl>
    <w:p>
      <w:r>
        <w:br w:type="page"/>
      </w:r>
    </w:p>
    <w:p>
      <w:pPr>
        <w:pStyle w:val="973"/>
        <w:outlineLvl w:val="0"/>
      </w:pPr>
      <w:bookmarkStart w:id="5" w:name="_TocRAM001"/>
      <w:bookmarkStart w:id="2" w:name="ref_standard_content"/>
      <w:r>
        <w:t>Information asset standard</w:t>
      </w:r>
      <w:bookmarkEnd w:id="2"/>
      <w:bookmarkEnd w:id="5"/>
    </w:p>
    <w:p>
      <w:pPr>
        <w:pStyle w:val="974"/>
        <w:outlineLvl w:val="1"/>
      </w:pPr>
      <w:bookmarkStart w:id="6" w:name="_TocRAM002"/>
      <w:r>
        <w:t>What this plan is</w:t>
      </w:r>
      <w:bookmarkEnd w:id="6"/>
    </w:p>
    <w:p>
      <w:r>
        <w:rPr>
          <w:b w:val="0"/>
        </w:rPr>
        <w:t>This document is Arcfield's Information Asset Standard. Define minimum information asset record requirements. It is not the governing policy, the live register or the completion record of a later cycle. This plan applies to the Arcfield Platform (B2B SaaS (Software as a Service) for regulated fintech and health customers): production, customer data, CI/CD (Continuous Integration / Continuous Delivery), privileged access and critical suppliers. Neighbouring records (ISO (International Organization for Standardization), AI (Artificial Intelligence), ICP) cite this Document Control version. Do not copy these paragraphs into them.</w:t>
      </w:r>
    </w:p>
    <w:p>
      <w:pPr>
        <w:pStyle w:val="974"/>
        <w:outlineLvl w:val="1"/>
      </w:pPr>
      <w:bookmarkStart w:id="7" w:name="_TocRAM003"/>
      <w:r>
        <w:t>Scope</w:t>
      </w:r>
      <w:bookmarkEnd w:id="7"/>
    </w:p>
    <w:p>
      <w:r>
        <w:rPr>
          <w:b w:val="0"/>
        </w:rPr>
        <w:t>Use this table before you copy a rule into another record or exclude a duty from this file.</w:t>
      </w:r>
    </w:p>
    <w:tbl>
      <w:tblPr>
        <w:tblStyle w:val="1033"/>
        <w:tblW w:type="dxa" w:w="10080"/>
        <w:jc w:val="left"/>
        <w:tblLayout w:type="fixed"/>
        <w:tblLook w:firstColumn="1" w:firstRow="1" w:lastColumn="0" w:lastRow="0" w:noHBand="0" w:noVBand="1" w:val="04A0"/>
      </w:tblPr>
      <w:tblGrid>
        <w:gridCol w:w="3024"/>
        <w:gridCol w:w="7056"/>
      </w:tblGrid>
      <w:tr>
        <w:trPr>
          <w:tblHeader/>
          <w:cantSplit/>
        </w:trPr>
        <w:tc>
          <w:tcPr>
            <w:tcW w:type="dxa" w:w="3024"/>
            <w:shd w:fill="F7F9FC"/>
          </w:tcPr>
          <w:p>
            <w:r/>
            <w:r>
              <w:rPr>
                <w:b/>
                <w:color w:val="1F6FEB"/>
                <w:sz w:val="18"/>
              </w:rPr>
              <w:t>In this plan</w:t>
            </w:r>
          </w:p>
        </w:tc>
        <w:tc>
          <w:tcPr>
            <w:tcW w:type="dxa" w:w="7056"/>
            <w:shd w:fill="F7F9FC"/>
          </w:tcPr>
          <w:p>
            <w:r/>
            <w:r>
              <w:rPr>
                <w:b/>
                <w:color w:val="1F6FEB"/>
                <w:sz w:val="18"/>
              </w:rPr>
              <w:t>Not in this plan</w:t>
            </w:r>
          </w:p>
        </w:tc>
      </w:tr>
      <w:tr>
        <w:trPr>
          <w:cantSplit/>
        </w:trPr>
        <w:tc>
          <w:tcPr>
            <w:tcW w:type="dxa" w:w="3024"/>
          </w:tcPr>
          <w:p>
            <w:r/>
            <w:r>
              <w:rPr>
                <w:b w:val="0"/>
                <w:color w:val="1F2328"/>
                <w:sz w:val="18"/>
              </w:rPr>
              <w:t>The rules, roles, worked Arcfield example and the records this file owns.</w:t>
            </w:r>
          </w:p>
        </w:tc>
        <w:tc>
          <w:tcPr>
            <w:tcW w:type="dxa" w:w="7056"/>
          </w:tcPr>
          <w:p>
            <w:r/>
            <w:r>
              <w:rPr>
                <w:b w:val="0"/>
                <w:color w:val="1F2328"/>
                <w:sz w:val="18"/>
              </w:rPr>
              <w:t>The ISMS boundary (ISS), Annex A selection (SoA) or live rows in ISO, AI, ICP.</w:t>
            </w:r>
          </w:p>
        </w:tc>
      </w:tr>
      <w:tr>
        <w:trPr>
          <w:cantSplit/>
        </w:trPr>
        <w:tc>
          <w:tcPr>
            <w:tcW w:type="dxa" w:w="3024"/>
          </w:tcPr>
          <w:p>
            <w:r/>
            <w:r>
              <w:rPr>
                <w:b w:val="0"/>
                <w:color w:val="1F2328"/>
                <w:sz w:val="18"/>
              </w:rPr>
              <w:t>Interfaces that must cite this Document Control version, including CI/CD, identity and suppliers where they affect CIA.</w:t>
            </w:r>
          </w:p>
        </w:tc>
        <w:tc>
          <w:tcPr>
            <w:tcW w:type="dxa" w:w="7056"/>
          </w:tcPr>
          <w:p>
            <w:r/>
            <w:r>
              <w:rPr>
                <w:b w:val="0"/>
                <w:color w:val="1F2328"/>
                <w:sz w:val="18"/>
              </w:rPr>
              <w:t>Live ISS scope rows, SoA applicability decisions, or neighbouring live registers. Those files keep their own approved versions; this file does not duplicate them.</w:t>
            </w:r>
          </w:p>
        </w:tc>
      </w:tr>
    </w:tbl>
    <w:p>
      <w:pPr>
        <w:spacing w:before="0" w:after="120"/>
      </w:pPr>
    </w:p>
    <w:p>
      <w:pPr>
        <w:pStyle w:val="974"/>
        <w:outlineLvl w:val="1"/>
      </w:pPr>
      <w:bookmarkStart w:id="8" w:name="_TocRAM004"/>
      <w:r>
        <w:t>Terms used here</w:t>
      </w:r>
      <w:bookmarkEnd w:id="8"/>
    </w:p>
    <w:p>
      <w:r>
        <w:rPr>
          <w:b w:val="0"/>
        </w:rPr>
        <w:t>These terms are local to this file. Expand every acronym on first use in the body.</w:t>
      </w:r>
    </w:p>
    <w:tbl>
      <w:tblPr>
        <w:tblStyle w:val="1033"/>
        <w:tblW w:type="dxa" w:w="10080"/>
        <w:jc w:val="left"/>
        <w:tblLayout w:type="fixed"/>
        <w:tblLook w:firstColumn="1" w:firstRow="1" w:lastColumn="0" w:lastRow="0" w:noHBand="0" w:noVBand="1" w:val="04A0"/>
      </w:tblPr>
      <w:tblGrid>
        <w:gridCol w:w="2840"/>
        <w:gridCol w:w="7240"/>
      </w:tblGrid>
      <w:tr>
        <w:trPr>
          <w:tblHeader/>
          <w:cantSplit/>
        </w:trPr>
        <w:tc>
          <w:tcPr>
            <w:tcW w:type="dxa" w:w="2840"/>
            <w:shd w:fill="F7F9FC"/>
          </w:tcPr>
          <w:p>
            <w:r/>
            <w:r>
              <w:rPr>
                <w:b/>
                <w:color w:val="1F6FEB"/>
                <w:sz w:val="18"/>
              </w:rPr>
              <w:t>Term</w:t>
            </w:r>
          </w:p>
        </w:tc>
        <w:tc>
          <w:tcPr>
            <w:tcW w:type="dxa" w:w="7240"/>
            <w:shd w:fill="F7F9FC"/>
          </w:tcPr>
          <w:p>
            <w:r/>
            <w:r>
              <w:rPr>
                <w:b/>
                <w:color w:val="1F6FEB"/>
                <w:sz w:val="18"/>
              </w:rPr>
              <w:t>Meaning</w:t>
            </w:r>
          </w:p>
        </w:tc>
      </w:tr>
      <w:tr>
        <w:trPr>
          <w:cantSplit/>
        </w:trPr>
        <w:tc>
          <w:tcPr>
            <w:tcW w:type="dxa" w:w="2840"/>
          </w:tcPr>
          <w:p>
            <w:r/>
            <w:r>
              <w:rPr>
                <w:b w:val="0"/>
                <w:color w:val="1F2328"/>
                <w:sz w:val="18"/>
              </w:rPr>
              <w:t>Owner</w:t>
            </w:r>
          </w:p>
        </w:tc>
        <w:tc>
          <w:tcPr>
            <w:tcW w:type="dxa" w:w="7240"/>
          </w:tcPr>
          <w:p>
            <w:r/>
            <w:r>
              <w:rPr>
                <w:b w:val="0"/>
                <w:color w:val="1F2328"/>
                <w:sz w:val="18"/>
              </w:rPr>
              <w:t>The named role that can be called in an audit for an outcome. A team name is not an owner.</w:t>
            </w:r>
          </w:p>
        </w:tc>
      </w:tr>
      <w:tr>
        <w:trPr>
          <w:cantSplit/>
        </w:trPr>
        <w:tc>
          <w:tcPr>
            <w:tcW w:type="dxa" w:w="2840"/>
          </w:tcPr>
          <w:p>
            <w:r/>
            <w:r>
              <w:rPr>
                <w:b w:val="0"/>
                <w:color w:val="1F2328"/>
                <w:sz w:val="18"/>
              </w:rPr>
              <w:t>Exception</w:t>
            </w:r>
          </w:p>
        </w:tc>
        <w:tc>
          <w:tcPr>
            <w:tcW w:type="dxa" w:w="7240"/>
          </w:tcPr>
          <w:p>
            <w:r/>
            <w:r>
              <w:rPr>
                <w:b w:val="0"/>
                <w:color w:val="1F2328"/>
                <w:sz w:val="18"/>
              </w:rPr>
              <w:t>A time-bound, approved departure with expiry and a compensating control.</w:t>
            </w:r>
          </w:p>
        </w:tc>
      </w:tr>
      <w:tr>
        <w:trPr>
          <w:cantSplit/>
        </w:trPr>
        <w:tc>
          <w:tcPr>
            <w:tcW w:type="dxa" w:w="2840"/>
          </w:tcPr>
          <w:p>
            <w:r/>
            <w:r>
              <w:rPr>
                <w:b w:val="0"/>
                <w:color w:val="1F2328"/>
                <w:sz w:val="18"/>
              </w:rPr>
              <w:t>CIA</w:t>
            </w:r>
          </w:p>
        </w:tc>
        <w:tc>
          <w:tcPr>
            <w:tcW w:type="dxa" w:w="7240"/>
          </w:tcPr>
          <w:p>
            <w:r/>
            <w:r>
              <w:rPr>
                <w:b w:val="0"/>
                <w:color w:val="1F2328"/>
                <w:sz w:val="18"/>
              </w:rPr>
              <w:t>Confidentiality, Integrity and Availability of in-scope information and services.</w:t>
            </w:r>
          </w:p>
        </w:tc>
      </w:tr>
      <w:tr>
        <w:trPr>
          <w:cantSplit/>
        </w:trPr>
        <w:tc>
          <w:tcPr>
            <w:tcW w:type="dxa" w:w="2840"/>
          </w:tcPr>
          <w:p>
            <w:r/>
            <w:r>
              <w:rPr>
                <w:b w:val="0"/>
                <w:color w:val="1F2328"/>
                <w:sz w:val="18"/>
              </w:rPr>
              <w:t>Document Control version</w:t>
            </w:r>
          </w:p>
        </w:tc>
        <w:tc>
          <w:tcPr>
            <w:tcW w:type="dxa" w:w="7240"/>
          </w:tcPr>
          <w:p>
            <w:r/>
            <w:r>
              <w:rPr>
                <w:b w:val="0"/>
                <w:color w:val="1F2328"/>
                <w:sz w:val="18"/>
              </w:rPr>
              <w:t>The approved version cited from neighbouring records. Do not copy this body into those records.</w:t>
            </w:r>
          </w:p>
        </w:tc>
      </w:tr>
    </w:tbl>
    <w:p>
      <w:pPr>
        <w:spacing w:before="0" w:after="120"/>
      </w:pPr>
    </w:p>
    <w:p>
      <w:pPr>
        <w:pStyle w:val="974"/>
        <w:outlineLvl w:val="1"/>
      </w:pPr>
      <w:bookmarkStart w:id="9" w:name="_TocRAM005"/>
      <w:r>
        <w:t>Information asset standard / template content</w:t>
      </w:r>
      <w:bookmarkEnd w:id="9"/>
    </w:p>
    <w:p>
      <w:r>
        <w:rPr>
          <w:b w:val="0"/>
        </w:rPr>
        <w:t>Information asset standard / template content is a Arcfield Platform operating rule for Arcfield, not a restatement of this file's purpose. Minimum records include asset name, description, owner, system/location, data categories, classification, users/access groups, supplier involvement, retention expectation, lifecycle status, risk linkage and evidence location. Define minimum information asset record requirements. Apply it to Arcfield Platform systems, data stores and evidence repositories. Name the owner, the live record and the review date. Cite this approved version from neighbouring records; do not copy this chapter into them.</w:t>
      </w:r>
    </w:p>
    <w:tbl>
      <w:tblPr>
        <w:tblStyle w:val="1033"/>
        <w:tblW w:type="dxa" w:w="10080"/>
        <w:jc w:val="left"/>
        <w:tblLayout w:type="fixed"/>
        <w:tblLook w:firstColumn="1" w:firstRow="1" w:lastColumn="0" w:lastRow="0" w:noHBand="0" w:noVBand="1" w:val="04A0"/>
      </w:tblPr>
      <w:tblGrid>
        <w:gridCol w:w="1864"/>
        <w:gridCol w:w="3160"/>
        <w:gridCol w:w="5056"/>
      </w:tblGrid>
      <w:tr>
        <w:trPr>
          <w:tblHeader/>
          <w:cantSplit/>
        </w:trPr>
        <w:tc>
          <w:tcPr>
            <w:tcW w:type="dxa" w:w="1864"/>
            <w:shd w:fill="F7F9FC"/>
          </w:tcPr>
          <w:p>
            <w:r/>
            <w:r>
              <w:rPr>
                <w:b/>
                <w:color w:val="1F6FEB"/>
                <w:sz w:val="18"/>
              </w:rPr>
              <w:t>Arcfield case</w:t>
            </w:r>
          </w:p>
        </w:tc>
        <w:tc>
          <w:tcPr>
            <w:tcW w:type="dxa" w:w="3160"/>
            <w:shd w:fill="F7F9FC"/>
          </w:tcPr>
          <w:p>
            <w:r/>
            <w:r>
              <w:rPr>
                <w:b/>
                <w:color w:val="1F6FEB"/>
                <w:sz w:val="18"/>
              </w:rPr>
              <w:t>Rule applied</w:t>
            </w:r>
          </w:p>
        </w:tc>
        <w:tc>
          <w:tcPr>
            <w:tcW w:type="dxa" w:w="5056"/>
            <w:shd w:fill="F7F9FC"/>
          </w:tcPr>
          <w:p>
            <w:r/>
            <w:r>
              <w:rPr>
                <w:b/>
                <w:color w:val="1F6FEB"/>
                <w:sz w:val="18"/>
              </w:rPr>
              <w:t>Evidence</w:t>
            </w:r>
          </w:p>
        </w:tc>
      </w:tr>
      <w:tr>
        <w:trPr>
          <w:cantSplit/>
        </w:trPr>
        <w:tc>
          <w:tcPr>
            <w:tcW w:type="dxa" w:w="1864"/>
          </w:tcPr>
          <w:p>
            <w:r/>
            <w:r>
              <w:rPr>
                <w:b w:val="0"/>
                <w:color w:val="1F2328"/>
                <w:sz w:val="18"/>
              </w:rPr>
              <w:t>Arcfield Platform production — information asset standard / template content</w:t>
            </w:r>
          </w:p>
        </w:tc>
        <w:tc>
          <w:tcPr>
            <w:tcW w:type="dxa" w:w="3160"/>
          </w:tcPr>
          <w:p>
            <w:r/>
            <w:r>
              <w:rPr>
                <w:b w:val="0"/>
                <w:color w:val="1F2328"/>
                <w:sz w:val="18"/>
              </w:rPr>
              <w:t>Information asset standard / template content binds the named production system and a named owner. Define minimum information asset record requirements.</w:t>
            </w:r>
          </w:p>
        </w:tc>
        <w:tc>
          <w:tcPr>
            <w:tcW w:type="dxa" w:w="5056"/>
          </w:tcPr>
          <w:p>
            <w:r/>
            <w:r>
              <w:rPr>
                <w:b w:val="0"/>
                <w:color w:val="1F2328"/>
                <w:sz w:val="18"/>
              </w:rPr>
              <w:t>IAS-information_asset_standard_template_content-PROD</w:t>
            </w:r>
          </w:p>
        </w:tc>
      </w:tr>
      <w:tr>
        <w:trPr>
          <w:cantSplit/>
        </w:trPr>
        <w:tc>
          <w:tcPr>
            <w:tcW w:type="dxa" w:w="1864"/>
          </w:tcPr>
          <w:p>
            <w:r/>
            <w:r>
              <w:rPr>
                <w:b w:val="0"/>
                <w:color w:val="1F2328"/>
                <w:sz w:val="18"/>
              </w:rPr>
              <w:t>Customer data / support — information asset standard / template content</w:t>
            </w:r>
          </w:p>
        </w:tc>
        <w:tc>
          <w:tcPr>
            <w:tcW w:type="dxa" w:w="3160"/>
          </w:tcPr>
          <w:p>
            <w:r/>
            <w:r>
              <w:rPr>
                <w:b w:val="0"/>
                <w:color w:val="1F2328"/>
                <w:sz w:val="18"/>
              </w:rPr>
              <w:t>Support attachments and tenant configuration inherit this information asset standard / template content rule; they are not out of scope because they are temporary.</w:t>
            </w:r>
          </w:p>
        </w:tc>
        <w:tc>
          <w:tcPr>
            <w:tcW w:type="dxa" w:w="5056"/>
          </w:tcPr>
          <w:p>
            <w:r/>
            <w:r>
              <w:rPr>
                <w:b w:val="0"/>
                <w:color w:val="1F2328"/>
                <w:sz w:val="18"/>
              </w:rPr>
              <w:t>IAS-information_asset_standard_template_content-CUST</w:t>
            </w:r>
          </w:p>
        </w:tc>
      </w:tr>
      <w:tr>
        <w:trPr>
          <w:cantSplit/>
        </w:trPr>
        <w:tc>
          <w:tcPr>
            <w:tcW w:type="dxa" w:w="1864"/>
          </w:tcPr>
          <w:p>
            <w:r/>
            <w:r>
              <w:rPr>
                <w:b w:val="0"/>
                <w:color w:val="1F2328"/>
                <w:sz w:val="18"/>
              </w:rPr>
              <w:t>Supplier or CI/CD — information asset standard / template content</w:t>
            </w:r>
          </w:p>
        </w:tc>
        <w:tc>
          <w:tcPr>
            <w:tcW w:type="dxa" w:w="3160"/>
          </w:tcPr>
          <w:p>
            <w:r/>
            <w:r>
              <w:rPr>
                <w:b w:val="0"/>
                <w:color w:val="1F2328"/>
                <w:sz w:val="18"/>
              </w:rPr>
              <w:t>Name the shared-responsibility split for information asset standard / template content on hosting, identity and deploy paths. An unnamed interface is an unnamed audit boundary.</w:t>
            </w:r>
          </w:p>
        </w:tc>
        <w:tc>
          <w:tcPr>
            <w:tcW w:type="dxa" w:w="5056"/>
          </w:tcPr>
          <w:p>
            <w:r/>
            <w:r>
              <w:rPr>
                <w:b w:val="0"/>
                <w:color w:val="1F2328"/>
                <w:sz w:val="18"/>
              </w:rPr>
              <w:t>IAS-information_asset_standard_template_content-SUP</w:t>
            </w:r>
          </w:p>
        </w:tc>
      </w:tr>
    </w:tbl>
    <w:p>
      <w:pPr>
        <w:spacing w:before="0" w:after="120"/>
      </w:pPr>
    </w:p>
    <w:p>
      <w:pPr>
        <w:pStyle w:val="973"/>
        <w:outlineLvl w:val="0"/>
      </w:pPr>
      <w:bookmarkStart w:id="10" w:name="_TocRAM006"/>
      <w:bookmarkStart w:id="3" w:name="ref_evidence_and_records"/>
      <w:r>
        <w:t>Evidence and records</w:t>
      </w:r>
      <w:bookmarkEnd w:id="3"/>
      <w:bookmarkEnd w:id="10"/>
    </w:p>
    <w:p>
      <w:r>
        <w:rPr>
          <w:b w:val="0"/>
        </w:rPr>
        <w:t>Related records live in the companion documents named below. This file cites them by their approved version. It does not copy their content. The Owner named on the cover is accountable for those live records.</w:t>
      </w:r>
    </w:p>
    <w:p>
      <w:pPr>
        <w:pStyle w:val="1006"/>
        <w:ind w:left="360" w:hanging="259"/>
        <w:numPr>
          <w:ilvl w:val="0"/>
          <w:numId w:val="11"/>
        </w:numPr>
      </w:pPr>
      <w:hyperlink r:id="rId16" w:history="1">
        <w:r>
          <w:rPr>
            <w:color w:val="0563C1"/>
            <w:u w:val="single"/>
          </w:rPr>
          <w:t xml:space="preserve">Mandatory Documents and Records Register</w:t>
        </w:r>
      </w:hyperlink>
      <w:r>
        <w:rPr>
          <w:b w:val="0"/>
        </w:rPr>
        <w:t xml:space="preserve"> — The 27 mandatory ISO 27001 documents and records, with owner, required status, approval, review cadence, location and evidence readiness.</w:t>
      </w:r>
    </w:p>
    <w:p>
      <w:pPr>
        <w:pStyle w:val="1006"/>
        <w:ind w:left="360" w:hanging="259"/>
        <w:numPr>
          <w:ilvl w:val="0"/>
          <w:numId w:val="11"/>
        </w:numPr>
      </w:pPr>
      <w:hyperlink r:id="rId17" w:history="1">
        <w:r>
          <w:rPr>
            <w:color w:val="0563C1"/>
            <w:u w:val="single"/>
          </w:rPr>
          <w:t xml:space="preserve">Document Register</w:t>
        </w:r>
      </w:hyperlink>
      <w:r>
        <w:rPr>
          <w:b w:val="0"/>
        </w:rPr>
        <w:t xml:space="preserve"> — Controlled documented information: origin, owner, approver, version, review cycle, retention and location.</w:t>
      </w:r>
    </w:p>
    <w:p>
      <w:pPr>
        <w:pStyle w:val="1006"/>
        <w:ind w:left="360" w:hanging="259"/>
        <w:numPr>
          <w:ilvl w:val="0"/>
          <w:numId w:val="11"/>
        </w:numPr>
      </w:pPr>
      <w:hyperlink r:id="rId18" w:history="1">
        <w:r>
          <w:rPr>
            <w:color w:val="0563C1"/>
            <w:u w:val="single"/>
          </w:rPr>
          <w:t xml:space="preserve">Records Retention Schedule</w:t>
        </w:r>
      </w:hyperlink>
      <w:r>
        <w:rPr>
          <w:b w:val="0"/>
        </w:rPr>
        <w:t xml:space="preserve"> — Retention rules for ISMS, security, privacy, audit and operational records, with owner, period, disposal method and evidence.</w:t>
      </w:r>
    </w:p>
    <w:p>
      <w:pPr>
        <w:pStyle w:val="973"/>
        <w:outlineLvl w:val="0"/>
      </w:pPr>
      <w:bookmarkStart w:id="11" w:name="_TocRAM007"/>
      <w:bookmarkStart w:id="4" w:name="ref_external_references"/>
      <w:r>
        <w:t>References</w:t>
      </w:r>
      <w:bookmarkEnd w:id="4"/>
      <w:bookmarkEnd w:id="11"/>
    </w:p>
    <w:p>
      <w:pPr>
        <w:pStyle w:val="974"/>
        <w:outlineLvl w:val="1"/>
      </w:pPr>
      <w:bookmarkStart w:id="12" w:name="_TocRAM008"/>
      <w:r>
        <w:t>Linked documents</w:t>
      </w:r>
      <w:bookmarkEnd w:id="12"/>
    </w:p>
    <w:p>
      <w:r>
        <w:rPr>
          <w:b w:val="0"/>
        </w:rPr>
        <w:t>These companion files sit next to this document in the unpacked package. This file cites them by their approved version. It does not copy their content.</w:t>
      </w:r>
    </w:p>
    <w:p>
      <w:pPr>
        <w:pStyle w:val="1006"/>
        <w:ind w:left="360" w:hanging="259"/>
        <w:numPr>
          <w:ilvl w:val="0"/>
          <w:numId w:val="12"/>
        </w:numPr>
      </w:pPr>
      <w:hyperlink r:id="rId16" w:history="1">
        <w:r>
          <w:rPr>
            <w:color w:val="0563C1"/>
            <w:u w:val="single"/>
          </w:rPr>
          <w:t xml:space="preserve">MDR Mandatory Documents and Records Register</w:t>
        </w:r>
      </w:hyperlink>
      <w:r>
        <w:rPr>
          <w:b w:val="0"/>
        </w:rPr>
        <w:t xml:space="preserve"> — The 27 mandatory ISO 27001 documents and records, with owner, required status, approval, review cadence, location and evidence readiness.</w:t>
      </w:r>
    </w:p>
    <w:p>
      <w:pPr>
        <w:pStyle w:val="1006"/>
        <w:ind w:left="360" w:hanging="259"/>
        <w:numPr>
          <w:ilvl w:val="0"/>
          <w:numId w:val="12"/>
        </w:numPr>
      </w:pPr>
      <w:hyperlink r:id="rId17" w:history="1">
        <w:r>
          <w:rPr>
            <w:color w:val="0563C1"/>
            <w:u w:val="single"/>
          </w:rPr>
          <w:t xml:space="preserve">DR Document Register</w:t>
        </w:r>
      </w:hyperlink>
      <w:r>
        <w:rPr>
          <w:b w:val="0"/>
        </w:rPr>
        <w:t xml:space="preserve"> — Controlled documented information: origin, owner, approver, version, review cycle, retention and location.</w:t>
      </w:r>
    </w:p>
    <w:p>
      <w:pPr>
        <w:pStyle w:val="1006"/>
        <w:ind w:left="360" w:hanging="259"/>
        <w:numPr>
          <w:ilvl w:val="0"/>
          <w:numId w:val="12"/>
        </w:numPr>
      </w:pPr>
      <w:hyperlink r:id="rId18" w:history="1">
        <w:r>
          <w:rPr>
            <w:color w:val="0563C1"/>
            <w:u w:val="single"/>
          </w:rPr>
          <w:t xml:space="preserve">RRS Records Retention Schedule</w:t>
        </w:r>
      </w:hyperlink>
      <w:r>
        <w:rPr>
          <w:b w:val="0"/>
        </w:rPr>
        <w:t xml:space="preserve"> — Retention rules for ISMS, security, privacy, audit and operational records, with owner, period, disposal method and evidence.</w:t>
      </w:r>
    </w:p>
    <w:p>
      <w:pPr>
        <w:pStyle w:val="1006"/>
        <w:ind w:left="360" w:hanging="259"/>
        <w:numPr>
          <w:ilvl w:val="0"/>
          <w:numId w:val="12"/>
        </w:numPr>
      </w:pPr>
      <w:hyperlink r:id="rId19" w:history="1">
        <w:r>
          <w:rPr>
            <w:color w:val="0563C1"/>
            <w:u w:val="single"/>
          </w:rPr>
          <w:t xml:space="preserve">AI Asset Inventory (Implementation &amp; Certification, Asset Management &amp; Information Classification)</w:t>
        </w:r>
      </w:hyperlink>
      <w:r>
        <w:rPr>
          <w:b w:val="0"/>
        </w:rPr>
        <w:t xml:space="preserve"> — Interface record. Cite this Document Control version; do not copy this file into that record.</w:t>
      </w:r>
    </w:p>
    <w:p>
      <w:pPr>
        <w:pStyle w:val="1006"/>
        <w:ind w:left="360" w:hanging="259"/>
        <w:numPr>
          <w:ilvl w:val="0"/>
          <w:numId w:val="12"/>
        </w:numPr>
      </w:pPr>
      <w:hyperlink r:id="rId20" w:history="1">
        <w:r>
          <w:rPr>
            <w:color w:val="0563C1"/>
            <w:u w:val="single"/>
          </w:rPr>
          <w:t xml:space="preserve">ICP Information Classification Policy (Building the ISMS, Information Security Policies &amp; Risk Management)</w:t>
        </w:r>
      </w:hyperlink>
      <w:r>
        <w:rPr>
          <w:b w:val="0"/>
        </w:rPr>
        <w:t xml:space="preserve"> — Interface record. Cite this Document Control version; do not copy this file into that record.</w:t>
      </w:r>
    </w:p>
    <w:p>
      <w:pPr>
        <w:pStyle w:val="1006"/>
        <w:ind w:left="360" w:hanging="259"/>
        <w:numPr>
          <w:ilvl w:val="0"/>
          <w:numId w:val="12"/>
        </w:numPr>
      </w:pPr>
      <w:hyperlink r:id="rId21" w:history="1">
        <w:r>
          <w:rPr>
            <w:color w:val="0563C1"/>
            <w:u w:val="single"/>
          </w:rPr>
          <w:t xml:space="preserve">LMP Logging and Monitoring Policy (Implementation &amp; Certification, Monitoring, Measurement &amp; Performance Metrics)</w:t>
        </w:r>
      </w:hyperlink>
      <w:r>
        <w:rPr>
          <w:b w:val="0"/>
        </w:rPr>
        <w:t xml:space="preserve"> — Interface record. Cite this Document Control version; do not copy this file into that record.</w:t>
      </w:r>
    </w:p>
    <w:p>
      <w:pPr>
        <w:pStyle w:val="974"/>
        <w:outlineLvl w:val="1"/>
      </w:pPr>
      <w:bookmarkStart w:id="13" w:name="_TocRAM009"/>
      <w:r>
        <w:t>External references</w:t>
      </w:r>
      <w:bookmarkEnd w:id="13"/>
    </w:p>
    <w:p>
      <w:r>
        <w:rPr>
          <w:b w:val="0"/>
        </w:rPr>
        <w:t>Cite these ISO clauses and book chapters from workshops and audits.</w:t>
      </w:r>
    </w:p>
    <w:p>
      <w:pPr>
        <w:pStyle w:val="1006"/>
        <w:ind w:left="360" w:hanging="259"/>
        <w:numPr>
          <w:ilvl w:val="0"/>
          <w:numId w:val="13"/>
        </w:numPr>
      </w:pPr>
      <w:hyperlink r:id="rId22" w:history="1">
        <w:r>
          <w:rPr>
            <w:color w:val="0563C1"/>
            <w:u w:val="single"/>
          </w:rPr>
          <w:t xml:space="preserve">ISO/IEC 27001:2022</w:t>
        </w:r>
      </w:hyperlink>
      <w:r>
        <w:rPr>
          <w:b w:val="0"/>
        </w:rPr>
        <w:t xml:space="preserve"> — Normative ISMS requirements this companion artifact supports.</w:t>
      </w:r>
    </w:p>
    <w:p>
      <w:pPr>
        <w:pStyle w:val="1006"/>
        <w:ind w:left="360" w:hanging="259"/>
        <w:numPr>
          <w:ilvl w:val="0"/>
          <w:numId w:val="13"/>
        </w:numPr>
      </w:pPr>
      <w:hyperlink r:id="rId23" w:history="1">
        <w:r>
          <w:rPr>
            <w:color w:val="0563C1"/>
            <w:u w:val="single"/>
          </w:rPr>
          <w:t xml:space="preserve">Implementation &amp; Certification, Asset Management &amp; Information Classification</w:t>
        </w:r>
      </w:hyperlink>
      <w:r>
        <w:rPr>
          <w:b w:val="0"/>
        </w:rPr>
        <w:t xml:space="preserve"> — Primary operating chapter for this companion artifact.</w:t>
      </w:r>
    </w:p>
    <w:p>
      <w:pPr>
        <w:pStyle w:val="1006"/>
        <w:ind w:left="360" w:hanging="259"/>
        <w:numPr>
          <w:ilvl w:val="0"/>
          <w:numId w:val="13"/>
        </w:numPr>
      </w:pPr>
      <w:hyperlink r:id="rId23" w:history="1">
        <w:r>
          <w:rPr>
            <w:color w:val="0563C1"/>
            <w:u w:val="single"/>
          </w:rPr>
          <w:t xml:space="preserve">Implementation &amp; Certification, Asset Management &amp; Information Classification</w:t>
        </w:r>
      </w:hyperlink>
      <w:r>
        <w:rPr>
          <w:b w:val="0"/>
        </w:rPr>
        <w:t xml:space="preserve"> — Primary operating chapter for this companion artifact.</w:t>
      </w:r>
    </w:p>
    <w:p>
      <w:pPr>
        <w:pStyle w:val="1006"/>
        <w:ind w:left="360" w:hanging="259"/>
        <w:numPr>
          <w:ilvl w:val="0"/>
          <w:numId w:val="13"/>
        </w:numPr>
      </w:pPr>
      <w:hyperlink r:id="rId24" w:history="1">
        <w:r>
          <w:rPr>
            <w:color w:val="0563C1"/>
            <w:u w:val="single"/>
          </w:rPr>
          <w:t xml:space="preserve">Building the ISMS, Planning, Risk &amp; Objectives (Clause 6)</w:t>
        </w:r>
      </w:hyperlink>
      <w:r>
        <w:rPr>
          <w:b w:val="0"/>
        </w:rPr>
        <w:t xml:space="preserve"> — Documented information, review and version discipline.</w:t>
      </w:r>
    </w:p>
    <w:sectPr>
      <w:headerReference w:type="default" r:id="rId10"/>
      <w:footerReference w:type="default" r:id="rId11"/>
      <w:headerReference w:type="first" r:id="rId14"/>
      <w:footerReference w:type="first" r:id="rId15"/>
      <w:footnotePr/>
      <w:endnotePr/>
      <w:type w:val="nextPage"/>
      <w:pgSz w:h="15840" w:orient="portrait" w:w="12240"/>
      <w:pgMar w:top="1008" w:right="1080" w:bottom="1008" w:left="1080" w:header="720" w:footer="720"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ymbol">
    <w:panose1 w:val="05010000000000000000"/>
  </w:font>
  <w:font w:name="Courier"/>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Style w:val="1033"/>
      <w:tblW w:w="0" w:type="auto"/>
      <w:tblBorders/>
      <w:tblLayout w:type="fixed"/>
      <w:tblLook w:val="04A0" w:firstRow="1" w:lastRow="0" w:firstColumn="1" w:lastColumn="0" w:noHBand="0" w:noVBand="1"/>
    </w:tblPr>
    <w:tblGrid>
      <w:gridCol w:w="8949"/>
      <w:gridCol w:w="1131"/>
    </w:tblGrid>
    <w:tr>
      <w:trPr/>
      <w:tc>
        <w:tcPr>
          <w:tcBorders>
            <w:top w:val="none" w:color="000000" w:sz="4" w:space="0"/>
            <w:left w:val="none" w:color="000000" w:sz="4" w:space="0"/>
            <w:bottom w:val="none" w:color="000000" w:sz="4" w:space="0"/>
            <w:right w:val="none" w:color="000000" w:sz="4" w:space="0"/>
          </w:tcBorders>
          <w:tcW w:w="8949" w:type="dxa"/>
        </w:tcPr>
        <w:p w14:paraId="5CF692DF">
          <w:pPr>
            <w:pStyle w:val="971"/>
            <w:pBdr/>
            <w:spacing/>
            <w:ind/>
            <w:jc w:val="left"/>
            <w:rPr/>
          </w:pPr>
          <w:r>
            <w:rPr>
              <w:sz w:val="16"/>
            </w:rPr>
            <w:t xml:space="preserve">© </w:t>
          </w:r>
          <w:r>
            <w:rPr>
              <w:sz w:val="16"/>
              <w:lang w:val="es-ES"/>
            </w:rPr>
            <w:t xml:space="preserve">2026</w:t>
          </w:r>
          <w:r>
            <w:rPr>
              <w:sz w:val="16"/>
            </w:rPr>
            <w:t xml:space="preserve">.</w:t>
          </w:r>
          <w:r>
            <w:rPr>
              <w:sz w:val="16"/>
              <w:lang w:val="es-ES"/>
            </w:rPr>
            <w:t xml:space="preserve"> MessemerTech O</w:t>
          </w:r>
          <w:r>
            <w:rPr>
              <w:sz w:val="16"/>
              <w:lang w:val="es-ES"/>
            </w:rPr>
            <w:t xml:space="preserve">Ü</w:t>
          </w:r>
          <w:r>
            <w:rPr>
              <w:sz w:val="16"/>
              <w:lang w:val="es-ES"/>
            </w:rPr>
            <w:t xml:space="preserve">.</w:t>
          </w:r>
          <w:r>
            <w:rPr>
              <w:sz w:val="16"/>
            </w:rPr>
            <w:t xml:space="preserve"> ExportableProof is an imprint of MessemerTech. All rights reserved.</w:t>
          </w:r>
          <w:r>
            <w:rPr>
              <w:sz w:val="16"/>
              <w:lang w:val="es-ES"/>
            </w:rPr>
            <w:t xml:space="preserve"> </w:t>
          </w:r>
          <w:r/>
        </w:p>
        <w:p w14:paraId="4D434DCC">
          <w:pPr>
            <w:pStyle w:val="971"/>
            <w:pBdr/>
            <w:spacing/>
            <w:ind/>
            <w:jc w:val="center"/>
            <w:rPr>
              <w:sz w:val="16"/>
              <w:szCs w:val="16"/>
            </w:rPr>
          </w:pPr>
          <w:r>
            <w:rPr>
              <w:sz w:val="16"/>
              <w:szCs w:val="16"/>
            </w:rPr>
          </w:r>
          <w:r>
            <w:rPr>
              <w:sz w:val="16"/>
              <w:szCs w:val="16"/>
            </w:rPr>
          </w:r>
          <w:r>
            <w:rPr>
              <w:sz w:val="16"/>
              <w:szCs w:val="16"/>
            </w:rPr>
          </w:r>
        </w:p>
      </w:tc>
      <w:tc>
        <w:tcPr>
          <w:tcBorders>
            <w:top w:val="none" w:color="000000" w:sz="4" w:space="0"/>
            <w:left w:val="none" w:color="000000" w:sz="4" w:space="0"/>
            <w:bottom w:val="none" w:color="000000" w:sz="4" w:space="0"/>
            <w:right w:val="none" w:color="000000" w:sz="4" w:space="0"/>
          </w:tcBorders>
          <w:tcW w:w="1131" w:type="dxa"/>
        </w:tcPr>
        <w:p w14:paraId="3F298D0C">
          <w:pPr>
            <w:pStyle w:val="971"/>
            <w:pBdr/>
            <w:spacing/>
            <w:ind/>
            <w:jc w:val="center"/>
            <w:rPr>
              <w:sz w:val="16"/>
              <w:szCs w:val="16"/>
            </w:rPr>
          </w:pPr>
          <w:r>
            <w:rPr>
              <w:sz w:val="16"/>
              <w:szCs w:val="16"/>
            </w:rPr>
          </w:r>
          <w:r>
            <w:rPr>
              <w:sz w:val="16"/>
              <w:lang w:val="es-ES"/>
            </w:rPr>
            <w:t xml:space="preserve">Page </w:t>
          </w:r>
          <w:fldSimple w:instr="PAGE \* MERGEFORMAT">
            <w:r>
              <w:rPr>
                <w:sz w:val="16"/>
                <w:lang w:val="es-ES"/>
              </w:rPr>
              <w:t xml:space="preserve">1</w:t>
            </w:r>
          </w:fldSimple>
          <w:r>
            <w:rPr>
              <w:sz w:val="16"/>
              <w:lang w:val="es-ES"/>
            </w:rPr>
          </w:r>
          <w:r>
            <w:rPr>
              <w:sz w:val="16"/>
              <w:szCs w:val="16"/>
            </w:rPr>
          </w:r>
          <w:r>
            <w:rPr>
              <w:sz w:val="16"/>
              <w:szCs w:val="16"/>
            </w:rPr>
          </w:r>
        </w:p>
      </w:tc>
    </w:tr>
  </w:tbl>
  <w:p>
    <w:pPr>
      <w:pStyle w:val="971"/>
      <w:pBdr/>
      <w:spacing/>
      <w:ind/>
      <w:jc w:val="center"/>
      <w:rPr/>
    </w:pPr>
    <w:r>
      <w:rPr>
        <w:sz w:val="16"/>
      </w:rPr>
    </w: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D8C6AB4">
    <w:pPr>
      <w:pStyle w:val="969"/>
      <w:pBdr/>
      <w:spacing/>
      <w:ind/>
      <w:rPr/>
    </w:pPr>
    <w:r/>
    <w:r/>
  </w:p>
  <w:tbl>
    <w:tblPr>
      <w:tblStyle w:val="1033"/>
      <w:tblW w:w="0" w:type="auto"/>
      <w:tblBorders/>
      <w:tblLayout w:type="fixed"/>
      <w:tblLook w:val="04A0" w:firstRow="1" w:lastRow="0" w:firstColumn="1" w:lastColumn="0" w:noHBand="0" w:noVBand="1"/>
    </w:tblPr>
    <w:tblGrid>
      <w:gridCol w:w="7674"/>
      <w:gridCol w:w="2409"/>
    </w:tblGrid>
    <w:tr>
      <w:trPr/>
      <w:tc>
        <w:tcPr>
          <w:tcBorders>
            <w:top w:val="none" w:color="000000" w:sz="4" w:space="0"/>
            <w:left w:val="none" w:color="000000" w:sz="4" w:space="0"/>
            <w:bottom w:val="none" w:color="000000" w:sz="4" w:space="0"/>
            <w:right w:val="none" w:color="000000" w:sz="4" w:space="0"/>
          </w:tcBorders>
          <w:tcW w:w="7674" w:type="dxa"/>
        </w:tcPr>
        <w:p w14:paraId="0010B06F">
          <w:pPr>
            <w:pStyle w:val="969"/>
            <w:pBdr/>
            <w:spacing/>
            <w:ind/>
            <w:rPr/>
          </w:pPr>
          <w:r>
            <w:rPr>
              <w:lang w:val="es-ES"/>
            </w:rPr>
            <w:t xml:space="preserve">Information Asset Standard (IAS)</w:t>
          </w:r>
          <w:r/>
        </w:p>
      </w:tc>
      <w:tc>
        <w:tcPr>
          <w:tcBorders>
            <w:top w:val="none" w:color="000000" w:sz="4" w:space="0"/>
            <w:left w:val="none" w:color="000000" w:sz="4" w:space="0"/>
            <w:bottom w:val="none" w:color="000000" w:sz="4" w:space="0"/>
            <w:right w:val="none" w:color="000000" w:sz="4" w:space="0"/>
          </w:tcBorders>
          <w:tcW w:w="2409" w:type="dxa"/>
        </w:tcPr>
        <w:p w14:paraId="7DF2328B">
          <w:pPr>
            <w:pStyle w:val="969"/>
            <w:pBdr/>
            <w:spacing/>
            <w:ind/>
            <w:rPr/>
          </w:pPr>
          <w:r>
            <mc:AlternateContent>
              <mc:Choice Requires="wpg">
                <w:drawing>
                  <wp:inline xmlns:wp="http://schemas.openxmlformats.org/drawingml/2006/wordprocessingDrawing" distT="0" distB="0" distL="0" distR="0">
                    <wp:extent cx="1510455" cy="377614"/>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32848" name=""/>
                            <pic:cNvPicPr>
                              <a:picLocks noChangeAspect="1"/>
                            </pic:cNvPicPr>
                            <pic:nvPr/>
                          </pic:nvPicPr>
                          <pic:blipFill rotWithShape="1">
                            <a:blip r:embed="rId1"/>
                            <a:stretch/>
                          </pic:blipFill>
                          <pic:spPr bwMode="auto">
                            <a:xfrm flipH="0" flipV="0">
                              <a:off x="0" y="0"/>
                              <a:ext cx="1510454" cy="3776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18.93pt;height:29.73pt;mso-wrap-distance-left:0.00pt;mso-wrap-distance-top:0.00pt;mso-wrap-distance-right:0.00pt;mso-wrap-distance-bottom:0.00pt;z-index:1;" stroked="false">
                    <v:imagedata r:id="rId1" o:title=""/>
                    <o:lock v:ext="edit" rotation="t"/>
                  </v:shape>
                </w:pict>
              </mc:Fallback>
            </mc:AlternateContent>
          </w:r>
          <w:r/>
        </w:p>
      </w:tc>
    </w:tr>
  </w:tbl>
  <w:p w14:paraId="149041BC">
    <w:pPr>
      <w:pStyle w:val="969"/>
      <w:pBdr/>
      <w:spacing/>
      <w:ind/>
      <w:rPr/>
    </w:pPr>
    <w: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100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1007"/>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100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1004"/>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1006"/>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1003"/>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24">
    <w:name w:val="Table Grid Light"/>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Plain Table 1"/>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Plain Table 2"/>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Plain Table 3"/>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Plain Table 4"/>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Plain Table 5"/>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1 Light"/>
    <w:basedOn w:val="98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1 Light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1 Light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1 Light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1 Light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1 Light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1 Light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2"/>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2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2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2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2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2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2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3"/>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3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3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3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3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3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3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4"/>
    <w:basedOn w:val="98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4 - Accent 1"/>
    <w:basedOn w:val="98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4 - Accent 2"/>
    <w:basedOn w:val="98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4 - Accent 3"/>
    <w:basedOn w:val="98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4 - Accent 4"/>
    <w:basedOn w:val="98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4 - Accent 5"/>
    <w:basedOn w:val="98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4 - Accent 6"/>
    <w:basedOn w:val="98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5 Dark"/>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5 Dark- Accent 1"/>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5 Dark - Accent 2"/>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5 Dark - Accent 3"/>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5 Dark- Accent 4"/>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5 Dark - Accent 5"/>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5 Dark - Accent 6"/>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66">
    <w:name w:val="Grid Table 6 Colorful - Accent 1"/>
    <w:basedOn w:val="98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67">
    <w:name w:val="Grid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68">
    <w:name w:val="Grid Table 6 Colorful - Accent 3"/>
    <w:basedOn w:val="98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69">
    <w:name w:val="Grid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0">
    <w:name w:val="Grid Table 6 Colorful - Accent 5"/>
    <w:basedOn w:val="98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1">
    <w:name w:val="Grid Table 6 Colorful - Accent 6"/>
    <w:basedOn w:val="98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2">
    <w:name w:val="Grid Table 7 Colorful"/>
    <w:basedOn w:val="98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7 Colorful - Accent 1"/>
    <w:basedOn w:val="98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7 Colorful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7 Colorful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7 Colorful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5"/>
    <w:basedOn w:val="98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6"/>
    <w:basedOn w:val="98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1 Light"/>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1 Light - Accent 1"/>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1 Light - Accent 2"/>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3"/>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4"/>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5"/>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6"/>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2"/>
    <w:basedOn w:val="98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2 - Accent 1"/>
    <w:basedOn w:val="98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2"/>
    <w:basedOn w:val="98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3"/>
    <w:basedOn w:val="98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4"/>
    <w:basedOn w:val="98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5"/>
    <w:basedOn w:val="98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6"/>
    <w:basedOn w:val="98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3"/>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8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8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8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8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1"/>
    <w:basedOn w:val="98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2"/>
    <w:basedOn w:val="98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3"/>
    <w:basedOn w:val="98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4"/>
    <w:basedOn w:val="98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5"/>
    <w:basedOn w:val="98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4 - Accent 6"/>
    <w:basedOn w:val="98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5 Dark"/>
    <w:basedOn w:val="98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1"/>
    <w:basedOn w:val="98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2"/>
    <w:basedOn w:val="98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3"/>
    <w:basedOn w:val="98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4"/>
    <w:basedOn w:val="98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5 Dark - Accent 5"/>
    <w:basedOn w:val="98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3">
    <w:name w:val="List Table 5 Dark - Accent 6"/>
    <w:basedOn w:val="98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4">
    <w:name w:val="List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1"/>
    <w:basedOn w:val="98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3"/>
    <w:basedOn w:val="98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6 Colorful - Accent 5"/>
    <w:basedOn w:val="98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6 Colorful - Accent 6"/>
    <w:basedOn w:val="98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7 Colorful"/>
    <w:basedOn w:val="98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22">
    <w:name w:val="List Table 7 Colorful - Accent 1"/>
    <w:basedOn w:val="98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3">
    <w:name w:val="List Table 7 Colorful - Accent 2"/>
    <w:basedOn w:val="98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4">
    <w:name w:val="List Table 7 Colorful - Accent 3"/>
    <w:basedOn w:val="98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5">
    <w:name w:val="List Table 7 Colorful - Accent 4"/>
    <w:basedOn w:val="98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6">
    <w:name w:val="List Table 7 Colorful - Accent 5"/>
    <w:basedOn w:val="98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7">
    <w:name w:val="List Table 7 Colorful - Accent 6"/>
    <w:basedOn w:val="98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28">
    <w:name w:val="Lined - Accent"/>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ned - Accent 1"/>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ned - Accent 2"/>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ned - Accent 3"/>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ned - Accent 4"/>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ned - Accent 5"/>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ned - Accent 6"/>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amp; Lined - Accent"/>
    <w:basedOn w:val="98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amp; Lined - Accent 1"/>
    <w:basedOn w:val="98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amp; Lined - Accent 2"/>
    <w:basedOn w:val="98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Bordered &amp; Lined - Accent 3"/>
    <w:basedOn w:val="98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Bordered &amp; Lined - Accent 4"/>
    <w:basedOn w:val="98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Bordered &amp; Lined - Accent 5"/>
    <w:basedOn w:val="98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Bordered &amp; Lined - Accent 6"/>
    <w:basedOn w:val="98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Bordered"/>
    <w:basedOn w:val="98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Bordered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Bordered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Bordered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Bordered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49">
    <w:name w:val="footnote text"/>
    <w:link w:val="950"/>
    <w:uiPriority w:val="99"/>
    <w:semiHidden/>
    <w:unhideWhenUsed/>
    <w:pPr>
      <w:pBdr/>
      <w:spacing w:after="0" w:line="240" w:lineRule="auto"/>
      <w:ind/>
    </w:pPr>
    <w:rPr>
      <w:sz w:val="20"/>
      <w:szCs w:val="20"/>
    </w:rPr>
  </w:style>
  <w:style w:type="character" w:styleId="950">
    <w:name w:val="Footnote Text Char"/>
    <w:basedOn w:val="982"/>
    <w:link w:val="949"/>
    <w:uiPriority w:val="99"/>
    <w:semiHidden/>
    <w:pPr>
      <w:pBdr/>
      <w:spacing/>
      <w:ind/>
    </w:pPr>
    <w:rPr>
      <w:sz w:val="20"/>
      <w:szCs w:val="20"/>
    </w:rPr>
  </w:style>
  <w:style w:type="character" w:styleId="951">
    <w:name w:val="footnote reference"/>
    <w:basedOn w:val="982"/>
    <w:uiPriority w:val="99"/>
    <w:semiHidden/>
    <w:unhideWhenUsed/>
    <w:pPr>
      <w:pBdr/>
      <w:spacing/>
      <w:ind/>
    </w:pPr>
    <w:rPr>
      <w:vertAlign w:val="superscript"/>
    </w:rPr>
  </w:style>
  <w:style w:type="paragraph" w:styleId="952">
    <w:name w:val="endnote text"/>
    <w:link w:val="953"/>
    <w:uiPriority w:val="99"/>
    <w:semiHidden/>
    <w:unhideWhenUsed/>
    <w:pPr>
      <w:pBdr/>
      <w:spacing w:after="0" w:line="240" w:lineRule="auto"/>
      <w:ind/>
    </w:pPr>
    <w:rPr>
      <w:sz w:val="20"/>
      <w:szCs w:val="20"/>
    </w:rPr>
  </w:style>
  <w:style w:type="character" w:styleId="953">
    <w:name w:val="Endnote Text Char"/>
    <w:basedOn w:val="982"/>
    <w:link w:val="952"/>
    <w:uiPriority w:val="99"/>
    <w:semiHidden/>
    <w:pPr>
      <w:pBdr/>
      <w:spacing/>
      <w:ind/>
    </w:pPr>
    <w:rPr>
      <w:sz w:val="20"/>
      <w:szCs w:val="20"/>
    </w:rPr>
  </w:style>
  <w:style w:type="character" w:styleId="954">
    <w:name w:val="endnote reference"/>
    <w:basedOn w:val="982"/>
    <w:uiPriority w:val="99"/>
    <w:semiHidden/>
    <w:unhideWhenUsed/>
    <w:pPr>
      <w:pBdr/>
      <w:spacing/>
      <w:ind/>
    </w:pPr>
    <w:rPr>
      <w:vertAlign w:val="superscript"/>
    </w:rPr>
  </w:style>
  <w:style w:type="character" w:styleId="955">
    <w:name w:val="Hyperlink"/>
    <w:basedOn w:val="982"/>
    <w:uiPriority w:val="99"/>
    <w:unhideWhenUsed/>
    <w:pPr>
      <w:pBdr/>
      <w:spacing/>
      <w:ind/>
    </w:pPr>
    <w:rPr>
      <w:color w:val="0563c1" w:themeColor="hyperlink"/>
      <w:u w:val="single"/>
    </w:rPr>
  </w:style>
  <w:style w:type="character" w:styleId="956">
    <w:name w:val="FollowedHyperlink"/>
    <w:basedOn w:val="982"/>
    <w:uiPriority w:val="99"/>
    <w:semiHidden/>
    <w:unhideWhenUsed/>
    <w:pPr>
      <w:pBdr/>
      <w:spacing/>
      <w:ind/>
    </w:pPr>
    <w:rPr>
      <w:color w:val="954f72" w:themeColor="followedHyperlink"/>
      <w:u w:val="single"/>
    </w:rPr>
  </w:style>
  <w:style w:type="paragraph" w:styleId="957">
    <w:name w:val="toc 1"/>
    <w:uiPriority w:val="39"/>
    <w:unhideWhenUsed/>
    <w:pPr>
      <w:pBdr/>
      <w:spacing w:after="100"/>
      <w:ind/>
    </w:pPr>
  </w:style>
  <w:style w:type="paragraph" w:styleId="958">
    <w:name w:val="toc 2"/>
    <w:uiPriority w:val="39"/>
    <w:unhideWhenUsed/>
    <w:pPr>
      <w:pBdr/>
      <w:spacing w:after="100"/>
      <w:ind w:left="220"/>
    </w:pPr>
  </w:style>
  <w:style w:type="paragraph" w:styleId="959">
    <w:name w:val="toc 3"/>
    <w:uiPriority w:val="39"/>
    <w:unhideWhenUsed/>
    <w:pPr>
      <w:pBdr/>
      <w:spacing w:after="100"/>
      <w:ind w:left="440"/>
    </w:pPr>
  </w:style>
  <w:style w:type="paragraph" w:styleId="960">
    <w:name w:val="toc 4"/>
    <w:uiPriority w:val="39"/>
    <w:unhideWhenUsed/>
    <w:pPr>
      <w:pBdr/>
      <w:spacing w:after="100"/>
      <w:ind w:left="660"/>
    </w:pPr>
  </w:style>
  <w:style w:type="paragraph" w:styleId="961">
    <w:name w:val="toc 5"/>
    <w:uiPriority w:val="39"/>
    <w:unhideWhenUsed/>
    <w:pPr>
      <w:pBdr/>
      <w:spacing w:after="100"/>
      <w:ind w:left="880"/>
    </w:pPr>
  </w:style>
  <w:style w:type="paragraph" w:styleId="962">
    <w:name w:val="toc 6"/>
    <w:uiPriority w:val="39"/>
    <w:unhideWhenUsed/>
    <w:pPr>
      <w:pBdr/>
      <w:spacing w:after="100"/>
      <w:ind w:left="1100"/>
    </w:pPr>
  </w:style>
  <w:style w:type="paragraph" w:styleId="963">
    <w:name w:val="toc 7"/>
    <w:uiPriority w:val="39"/>
    <w:unhideWhenUsed/>
    <w:pPr>
      <w:pBdr/>
      <w:spacing w:after="100"/>
      <w:ind w:left="1320"/>
    </w:pPr>
  </w:style>
  <w:style w:type="paragraph" w:styleId="964">
    <w:name w:val="toc 8"/>
    <w:uiPriority w:val="39"/>
    <w:unhideWhenUsed/>
    <w:pPr>
      <w:pBdr/>
      <w:spacing w:after="100"/>
      <w:ind w:left="1540"/>
    </w:pPr>
  </w:style>
  <w:style w:type="paragraph" w:styleId="965">
    <w:name w:val="toc 9"/>
    <w:uiPriority w:val="39"/>
    <w:unhideWhenUsed/>
    <w:pPr>
      <w:pBdr/>
      <w:spacing w:after="100"/>
      <w:ind w:left="1760"/>
    </w:pPr>
  </w:style>
  <w:style w:type="character" w:styleId="966">
    <w:name w:val="Placeholder Text"/>
    <w:basedOn w:val="982"/>
    <w:uiPriority w:val="99"/>
    <w:semiHidden/>
    <w:pPr>
      <w:pBdr/>
      <w:spacing/>
      <w:ind/>
    </w:pPr>
    <w:rPr>
      <w:color w:val="666666"/>
    </w:rPr>
  </w:style>
  <w:style w:type="paragraph" w:styleId="967">
    <w:name w:val="table of figures"/>
    <w:uiPriority w:val="99"/>
    <w:unhideWhenUsed/>
    <w:pPr>
      <w:pBdr/>
      <w:spacing w:after="0" w:afterAutospacing="0"/>
      <w:ind/>
    </w:pPr>
  </w:style>
  <w:style w:type="paragraph" w:styleId="968" w:default="1">
    <w:name w:val="Normal"/>
    <w:qFormat/>
    <w:pPr>
      <w:pBdr/>
      <w:spacing/>
      <w:ind/>
    </w:pPr>
  </w:style>
  <w:style w:type="paragraph" w:styleId="969">
    <w:name w:val="Header"/>
    <w:link w:val="970"/>
    <w:uiPriority w:val="99"/>
    <w:unhideWhenUsed/>
    <w:pPr>
      <w:pBdr/>
      <w:tabs>
        <w:tab w:val="center" w:leader="none" w:pos="4680"/>
        <w:tab w:val="right" w:leader="none" w:pos="9360"/>
      </w:tabs>
      <w:spacing w:after="0" w:line="240" w:lineRule="auto"/>
      <w:ind/>
    </w:pPr>
  </w:style>
  <w:style w:type="character" w:styleId="970" w:customStyle="1">
    <w:name w:val="Header Char"/>
    <w:basedOn w:val="982"/>
    <w:link w:val="969"/>
    <w:uiPriority w:val="99"/>
    <w:pPr>
      <w:pBdr/>
      <w:spacing/>
      <w:ind/>
    </w:pPr>
  </w:style>
  <w:style w:type="paragraph" w:styleId="971">
    <w:name w:val="Footer"/>
    <w:link w:val="972"/>
    <w:uiPriority w:val="99"/>
    <w:unhideWhenUsed/>
    <w:pPr>
      <w:pBdr/>
      <w:tabs>
        <w:tab w:val="center" w:leader="none" w:pos="4680"/>
        <w:tab w:val="right" w:leader="none" w:pos="9360"/>
      </w:tabs>
      <w:spacing w:after="0" w:line="240" w:lineRule="auto"/>
      <w:ind/>
    </w:pPr>
  </w:style>
  <w:style w:type="character" w:styleId="972" w:customStyle="1">
    <w:name w:val="Footer Char"/>
    <w:basedOn w:val="982"/>
    <w:link w:val="971"/>
    <w:uiPriority w:val="99"/>
    <w:pPr>
      <w:pBdr/>
      <w:spacing/>
      <w:ind/>
    </w:pPr>
  </w:style>
  <w:style w:type="paragraph" w:styleId="973">
    <w:name w:val="Heading 1"/>
    <w:link w:val="986"/>
    <w:uiPriority w:val="9"/>
    <w:qFormat/>
    <w:pPr>
      <w:keepNext w:val="true"/>
      <w:keepLines w:val="true"/>
      <w:pBdr/>
      <w:spacing w:after="0" w:before="480"/>
      <w:ind/>
      <w:outlineLvl w:val="0"/>
    </w:pPr>
    <w:rPr>
      <w:rFonts w:asciiTheme="majorHAnsi" w:hAnsiTheme="majorHAnsi" w:eastAsiaTheme="majorEastAsia" w:cstheme="majorBidi"/>
      <w:b/>
      <w:bCs/>
      <w:color w:val="365f91" w:themeColor="accent1" w:themeShade="BF"/>
      <w:sz w:val="28"/>
      <w:szCs w:val="28"/>
    </w:rPr>
  </w:style>
  <w:style w:type="paragraph" w:styleId="974">
    <w:name w:val="Heading 2"/>
    <w:link w:val="987"/>
    <w:uiPriority w:val="9"/>
    <w:unhideWhenUsed/>
    <w:qFormat/>
    <w:pPr>
      <w:keepNext w:val="true"/>
      <w:keepLines w:val="true"/>
      <w:pBdr/>
      <w:spacing w:after="0" w:before="200"/>
      <w:ind/>
      <w:outlineLvl w:val="1"/>
    </w:pPr>
    <w:rPr>
      <w:rFonts w:asciiTheme="majorHAnsi" w:hAnsiTheme="majorHAnsi" w:eastAsiaTheme="majorEastAsia" w:cstheme="majorBidi"/>
      <w:b/>
      <w:bCs/>
      <w:color w:val="4f81bd" w:themeColor="accent1"/>
      <w:sz w:val="26"/>
      <w:szCs w:val="26"/>
    </w:rPr>
  </w:style>
  <w:style w:type="paragraph" w:styleId="975">
    <w:name w:val="Heading 3"/>
    <w:link w:val="988"/>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976">
    <w:name w:val="Heading 4"/>
    <w:link w:val="1016"/>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977">
    <w:name w:val="Heading 5"/>
    <w:link w:val="1017"/>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978">
    <w:name w:val="Heading 6"/>
    <w:link w:val="1018"/>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979">
    <w:name w:val="Heading 7"/>
    <w:link w:val="1019"/>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980">
    <w:name w:val="Heading 8"/>
    <w:link w:val="1020"/>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981">
    <w:name w:val="Heading 9"/>
    <w:link w:val="1021"/>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982" w:default="1">
    <w:name w:val="Default Paragraph Font"/>
    <w:uiPriority w:val="1"/>
    <w:semiHidden/>
    <w:unhideWhenUsed/>
    <w:pPr>
      <w:pBdr/>
      <w:spacing/>
      <w:ind/>
    </w:pPr>
  </w:style>
  <w:style w:type="table" w:styleId="98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4" w:default="1">
    <w:name w:val="No List"/>
    <w:uiPriority w:val="99"/>
    <w:semiHidden/>
    <w:unhideWhenUsed/>
    <w:pPr>
      <w:pBdr/>
      <w:spacing/>
      <w:ind/>
    </w:pPr>
  </w:style>
  <w:style w:type="paragraph" w:styleId="985">
    <w:name w:val="No Spacing"/>
    <w:uiPriority w:val="1"/>
    <w:qFormat/>
    <w:pPr>
      <w:pBdr/>
      <w:spacing w:after="0" w:line="240" w:lineRule="auto"/>
      <w:ind/>
    </w:pPr>
  </w:style>
  <w:style w:type="character" w:styleId="986" w:customStyle="1">
    <w:name w:val="Heading 1 Char"/>
    <w:basedOn w:val="982"/>
    <w:uiPriority w:val="9"/>
    <w:pPr>
      <w:pBdr/>
      <w:spacing/>
      <w:ind/>
    </w:pPr>
    <w:rPr>
      <w:rFonts w:asciiTheme="majorHAnsi" w:hAnsiTheme="majorHAnsi" w:eastAsiaTheme="majorEastAsia" w:cstheme="majorBidi"/>
      <w:b/>
      <w:bCs/>
      <w:color w:val="365f91" w:themeColor="accent1" w:themeShade="BF"/>
      <w:sz w:val="28"/>
      <w:szCs w:val="28"/>
    </w:rPr>
  </w:style>
  <w:style w:type="character" w:styleId="987" w:customStyle="1">
    <w:name w:val="Heading 2 Char"/>
    <w:basedOn w:val="982"/>
    <w:uiPriority w:val="9"/>
    <w:pPr>
      <w:pBdr/>
      <w:spacing/>
      <w:ind/>
    </w:pPr>
    <w:rPr>
      <w:rFonts w:asciiTheme="majorHAnsi" w:hAnsiTheme="majorHAnsi" w:eastAsiaTheme="majorEastAsia" w:cstheme="majorBidi"/>
      <w:b/>
      <w:bCs/>
      <w:color w:val="4f81bd" w:themeColor="accent1"/>
      <w:sz w:val="26"/>
      <w:szCs w:val="26"/>
    </w:rPr>
  </w:style>
  <w:style w:type="character" w:styleId="988" w:customStyle="1">
    <w:name w:val="Heading 3 Char"/>
    <w:basedOn w:val="982"/>
    <w:uiPriority w:val="9"/>
    <w:pPr>
      <w:pBdr/>
      <w:spacing/>
      <w:ind/>
    </w:pPr>
    <w:rPr>
      <w:rFonts w:asciiTheme="majorHAnsi" w:hAnsiTheme="majorHAnsi" w:eastAsiaTheme="majorEastAsia" w:cstheme="majorBidi"/>
      <w:b/>
      <w:bCs/>
      <w:color w:val="4f81bd" w:themeColor="accent1"/>
    </w:rPr>
  </w:style>
  <w:style w:type="paragraph" w:styleId="989">
    <w:name w:val="Title"/>
    <w:link w:val="990"/>
    <w:uiPriority w:val="10"/>
    <w:qFormat/>
    <w:pPr>
      <w:pBdr>
        <w:bottom w:val="single" w:color="4f81bd" w:themeColor="accent1" w:sz="8" w:space="4"/>
      </w:pBdr>
      <w:spacing w:after="300" w:line="240" w:lineRule="auto"/>
      <w:ind/>
      <w:contextualSpacing w:val="true"/>
    </w:pPr>
    <w:rPr>
      <w:rFonts w:asciiTheme="majorHAnsi" w:hAnsiTheme="majorHAnsi" w:eastAsiaTheme="majorEastAsia" w:cstheme="majorBidi"/>
      <w:color w:val="17365d" w:themeColor="text2" w:themeShade="BF"/>
      <w:spacing w:val="5"/>
      <w:sz w:val="52"/>
      <w:szCs w:val="52"/>
    </w:rPr>
  </w:style>
  <w:style w:type="character" w:styleId="990" w:customStyle="1">
    <w:name w:val="Title Char"/>
    <w:basedOn w:val="982"/>
    <w:link w:val="989"/>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991">
    <w:name w:val="Subtitle"/>
    <w:link w:val="992"/>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992" w:customStyle="1">
    <w:name w:val="Subtitle Char"/>
    <w:basedOn w:val="982"/>
    <w:link w:val="991"/>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993">
    <w:name w:val="List Paragraph"/>
    <w:uiPriority w:val="34"/>
    <w:qFormat/>
    <w:pPr>
      <w:pBdr/>
      <w:spacing/>
      <w:ind w:left="720"/>
      <w:contextualSpacing w:val="true"/>
    </w:pPr>
  </w:style>
  <w:style w:type="paragraph" w:styleId="994">
    <w:name w:val="Body Text"/>
    <w:link w:val="995"/>
    <w:uiPriority w:val="99"/>
    <w:unhideWhenUsed/>
    <w:pPr>
      <w:pBdr/>
      <w:spacing w:after="120"/>
      <w:ind/>
    </w:pPr>
  </w:style>
  <w:style w:type="character" w:styleId="995" w:customStyle="1">
    <w:name w:val="Body Text Char"/>
    <w:basedOn w:val="982"/>
    <w:link w:val="994"/>
    <w:uiPriority w:val="99"/>
    <w:pPr>
      <w:pBdr/>
      <w:spacing/>
      <w:ind/>
    </w:pPr>
  </w:style>
  <w:style w:type="paragraph" w:styleId="996">
    <w:name w:val="Body Text 2"/>
    <w:link w:val="997"/>
    <w:uiPriority w:val="99"/>
    <w:unhideWhenUsed/>
    <w:pPr>
      <w:pBdr/>
      <w:spacing w:after="120" w:line="480" w:lineRule="auto"/>
      <w:ind/>
    </w:pPr>
  </w:style>
  <w:style w:type="character" w:styleId="997" w:customStyle="1">
    <w:name w:val="Body Text 2 Char"/>
    <w:basedOn w:val="982"/>
    <w:link w:val="996"/>
    <w:uiPriority w:val="99"/>
    <w:pPr>
      <w:pBdr/>
      <w:spacing/>
      <w:ind/>
    </w:pPr>
  </w:style>
  <w:style w:type="paragraph" w:styleId="998">
    <w:name w:val="Body Text 3"/>
    <w:link w:val="999"/>
    <w:uiPriority w:val="99"/>
    <w:unhideWhenUsed/>
    <w:pPr>
      <w:pBdr/>
      <w:spacing w:after="120"/>
      <w:ind/>
    </w:pPr>
    <w:rPr>
      <w:sz w:val="16"/>
      <w:szCs w:val="16"/>
    </w:rPr>
  </w:style>
  <w:style w:type="character" w:styleId="999" w:customStyle="1">
    <w:name w:val="Body Text 3 Char"/>
    <w:basedOn w:val="982"/>
    <w:link w:val="998"/>
    <w:uiPriority w:val="99"/>
    <w:pPr>
      <w:pBdr/>
      <w:spacing/>
      <w:ind/>
    </w:pPr>
    <w:rPr>
      <w:sz w:val="16"/>
      <w:szCs w:val="16"/>
    </w:rPr>
  </w:style>
  <w:style w:type="paragraph" w:styleId="1000">
    <w:name w:val="List"/>
    <w:uiPriority w:val="99"/>
    <w:unhideWhenUsed/>
    <w:pPr>
      <w:pBdr/>
      <w:spacing/>
      <w:ind w:hanging="360" w:left="360"/>
      <w:contextualSpacing w:val="true"/>
    </w:pPr>
  </w:style>
  <w:style w:type="paragraph" w:styleId="1001">
    <w:name w:val="List 2"/>
    <w:uiPriority w:val="99"/>
    <w:unhideWhenUsed/>
    <w:pPr>
      <w:pBdr/>
      <w:spacing/>
      <w:ind w:hanging="360" w:left="720"/>
      <w:contextualSpacing w:val="true"/>
    </w:pPr>
  </w:style>
  <w:style w:type="paragraph" w:styleId="1002">
    <w:name w:val="List 3"/>
    <w:uiPriority w:val="99"/>
    <w:unhideWhenUsed/>
    <w:pPr>
      <w:pBdr/>
      <w:spacing/>
      <w:ind w:hanging="360" w:left="1080"/>
      <w:contextualSpacing w:val="true"/>
    </w:pPr>
  </w:style>
  <w:style w:type="paragraph" w:styleId="1003">
    <w:name w:val="List Bullet"/>
    <w:uiPriority w:val="99"/>
    <w:unhideWhenUsed/>
    <w:pPr>
      <w:numPr>
        <w:numId w:val="1"/>
      </w:numPr>
      <w:pBdr/>
      <w:spacing/>
      <w:ind/>
      <w:contextualSpacing w:val="true"/>
    </w:pPr>
  </w:style>
  <w:style w:type="paragraph" w:styleId="1004">
    <w:name w:val="List Bullet 2"/>
    <w:uiPriority w:val="99"/>
    <w:unhideWhenUsed/>
    <w:pPr>
      <w:numPr>
        <w:numId w:val="2"/>
      </w:numPr>
      <w:pBdr/>
      <w:spacing/>
      <w:ind/>
      <w:contextualSpacing w:val="true"/>
    </w:pPr>
  </w:style>
  <w:style w:type="paragraph" w:styleId="1005">
    <w:name w:val="List Bullet 3"/>
    <w:uiPriority w:val="99"/>
    <w:unhideWhenUsed/>
    <w:pPr>
      <w:numPr>
        <w:numId w:val="3"/>
      </w:numPr>
      <w:pBdr/>
      <w:spacing/>
      <w:ind/>
      <w:contextualSpacing w:val="true"/>
    </w:pPr>
  </w:style>
  <w:style w:type="paragraph" w:styleId="1006">
    <w:name w:val="List Number"/>
    <w:uiPriority w:val="99"/>
    <w:unhideWhenUsed/>
    <w:pPr>
      <w:numPr>
        <w:numId w:val="5"/>
      </w:numPr>
      <w:pBdr/>
      <w:spacing/>
      <w:ind/>
      <w:contextualSpacing w:val="true"/>
    </w:pPr>
  </w:style>
  <w:style w:type="paragraph" w:styleId="1007">
    <w:name w:val="List Number 2"/>
    <w:uiPriority w:val="99"/>
    <w:unhideWhenUsed/>
    <w:pPr>
      <w:numPr>
        <w:numId w:val="6"/>
      </w:numPr>
      <w:pBdr/>
      <w:spacing/>
      <w:ind/>
      <w:contextualSpacing w:val="true"/>
    </w:pPr>
  </w:style>
  <w:style w:type="paragraph" w:styleId="1008">
    <w:name w:val="List Number 3"/>
    <w:uiPriority w:val="99"/>
    <w:unhideWhenUsed/>
    <w:pPr>
      <w:numPr>
        <w:numId w:val="7"/>
      </w:numPr>
      <w:pBdr/>
      <w:spacing/>
      <w:ind/>
      <w:contextualSpacing w:val="true"/>
    </w:pPr>
  </w:style>
  <w:style w:type="paragraph" w:styleId="1009">
    <w:name w:val="List Continue"/>
    <w:uiPriority w:val="99"/>
    <w:unhideWhenUsed/>
    <w:pPr>
      <w:pBdr/>
      <w:spacing w:after="120"/>
      <w:ind w:left="360"/>
      <w:contextualSpacing w:val="true"/>
    </w:pPr>
  </w:style>
  <w:style w:type="paragraph" w:styleId="1010">
    <w:name w:val="List Continue 2"/>
    <w:uiPriority w:val="99"/>
    <w:unhideWhenUsed/>
    <w:pPr>
      <w:pBdr/>
      <w:spacing w:after="120"/>
      <w:ind w:left="720"/>
      <w:contextualSpacing w:val="true"/>
    </w:pPr>
  </w:style>
  <w:style w:type="paragraph" w:styleId="1011">
    <w:name w:val="List Continue 3"/>
    <w:uiPriority w:val="99"/>
    <w:unhideWhenUsed/>
    <w:pPr>
      <w:pBdr/>
      <w:spacing w:after="120"/>
      <w:ind w:left="1080"/>
      <w:contextualSpacing w:val="true"/>
    </w:pPr>
  </w:style>
  <w:style w:type="paragraph" w:styleId="1012">
    <w:name w:val="macro"/>
    <w:link w:val="1013"/>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1013" w:customStyle="1">
    <w:name w:val="Macro Text Char"/>
    <w:basedOn w:val="982"/>
    <w:link w:val="1012"/>
    <w:uiPriority w:val="99"/>
    <w:pPr>
      <w:pBdr/>
      <w:spacing/>
      <w:ind/>
    </w:pPr>
    <w:rPr>
      <w:rFonts w:ascii="Courier" w:hAnsi="Courier"/>
      <w:sz w:val="20"/>
      <w:szCs w:val="20"/>
    </w:rPr>
  </w:style>
  <w:style w:type="paragraph" w:styleId="1014">
    <w:name w:val="Quote"/>
    <w:link w:val="1015"/>
    <w:uiPriority w:val="29"/>
    <w:qFormat/>
    <w:pPr>
      <w:pBdr/>
      <w:spacing/>
      <w:ind/>
    </w:pPr>
    <w:rPr>
      <w:i/>
      <w:iCs/>
      <w:color w:val="000000" w:themeColor="text1"/>
    </w:rPr>
  </w:style>
  <w:style w:type="character" w:styleId="1015" w:customStyle="1">
    <w:name w:val="Quote Char"/>
    <w:basedOn w:val="982"/>
    <w:link w:val="1014"/>
    <w:uiPriority w:val="29"/>
    <w:pPr>
      <w:pBdr/>
      <w:spacing/>
      <w:ind/>
    </w:pPr>
    <w:rPr>
      <w:i/>
      <w:iCs/>
      <w:color w:val="000000" w:themeColor="text1"/>
    </w:rPr>
  </w:style>
  <w:style w:type="character" w:styleId="1016" w:customStyle="1">
    <w:name w:val="Heading 4 Char"/>
    <w:basedOn w:val="982"/>
    <w:link w:val="976"/>
    <w:uiPriority w:val="9"/>
    <w:semiHidden/>
    <w:pPr>
      <w:pBdr/>
      <w:spacing/>
      <w:ind/>
    </w:pPr>
    <w:rPr>
      <w:rFonts w:asciiTheme="majorHAnsi" w:hAnsiTheme="majorHAnsi" w:eastAsiaTheme="majorEastAsia" w:cstheme="majorBidi"/>
      <w:b/>
      <w:bCs/>
      <w:i/>
      <w:iCs/>
      <w:color w:val="4f81bd" w:themeColor="accent1"/>
    </w:rPr>
  </w:style>
  <w:style w:type="character" w:styleId="1017" w:customStyle="1">
    <w:name w:val="Heading 5 Char"/>
    <w:basedOn w:val="982"/>
    <w:link w:val="977"/>
    <w:uiPriority w:val="9"/>
    <w:semiHidden/>
    <w:pPr>
      <w:pBdr/>
      <w:spacing/>
      <w:ind/>
    </w:pPr>
    <w:rPr>
      <w:rFonts w:asciiTheme="majorHAnsi" w:hAnsiTheme="majorHAnsi" w:eastAsiaTheme="majorEastAsia" w:cstheme="majorBidi"/>
      <w:color w:val="243f60" w:themeColor="accent1" w:themeShade="7F"/>
    </w:rPr>
  </w:style>
  <w:style w:type="character" w:styleId="1018" w:customStyle="1">
    <w:name w:val="Heading 6 Char"/>
    <w:basedOn w:val="982"/>
    <w:link w:val="978"/>
    <w:uiPriority w:val="9"/>
    <w:semiHidden/>
    <w:pPr>
      <w:pBdr/>
      <w:spacing/>
      <w:ind/>
    </w:pPr>
    <w:rPr>
      <w:rFonts w:asciiTheme="majorHAnsi" w:hAnsiTheme="majorHAnsi" w:eastAsiaTheme="majorEastAsia" w:cstheme="majorBidi"/>
      <w:i/>
      <w:iCs/>
      <w:color w:val="243f60" w:themeColor="accent1" w:themeShade="7F"/>
    </w:rPr>
  </w:style>
  <w:style w:type="character" w:styleId="1019" w:customStyle="1">
    <w:name w:val="Heading 7 Char"/>
    <w:basedOn w:val="982"/>
    <w:link w:val="979"/>
    <w:uiPriority w:val="9"/>
    <w:semiHidden/>
    <w:pPr>
      <w:pBdr/>
      <w:spacing/>
      <w:ind/>
    </w:pPr>
    <w:rPr>
      <w:rFonts w:asciiTheme="majorHAnsi" w:hAnsiTheme="majorHAnsi" w:eastAsiaTheme="majorEastAsia" w:cstheme="majorBidi"/>
      <w:i/>
      <w:iCs/>
      <w:color w:val="404040" w:themeColor="text1" w:themeTint="BF"/>
    </w:rPr>
  </w:style>
  <w:style w:type="character" w:styleId="1020" w:customStyle="1">
    <w:name w:val="Heading 8 Char"/>
    <w:basedOn w:val="982"/>
    <w:link w:val="980"/>
    <w:uiPriority w:val="9"/>
    <w:semiHidden/>
    <w:pPr>
      <w:pBdr/>
      <w:spacing/>
      <w:ind/>
    </w:pPr>
    <w:rPr>
      <w:rFonts w:asciiTheme="majorHAnsi" w:hAnsiTheme="majorHAnsi" w:eastAsiaTheme="majorEastAsia" w:cstheme="majorBidi"/>
      <w:color w:val="4f81bd" w:themeColor="accent1"/>
      <w:sz w:val="20"/>
      <w:szCs w:val="20"/>
    </w:rPr>
  </w:style>
  <w:style w:type="character" w:styleId="1021" w:customStyle="1">
    <w:name w:val="Heading 9 Char"/>
    <w:basedOn w:val="982"/>
    <w:link w:val="981"/>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1022">
    <w:name w:val="Caption"/>
    <w:uiPriority w:val="35"/>
    <w:semiHidden/>
    <w:unhideWhenUsed/>
    <w:qFormat/>
    <w:pPr>
      <w:pBdr/>
      <w:spacing w:line="240" w:lineRule="auto"/>
      <w:ind/>
    </w:pPr>
    <w:rPr>
      <w:b/>
      <w:bCs/>
      <w:color w:val="4f81bd" w:themeColor="accent1"/>
      <w:sz w:val="18"/>
      <w:szCs w:val="18"/>
    </w:rPr>
  </w:style>
  <w:style w:type="character" w:styleId="1023">
    <w:name w:val="Strong"/>
    <w:basedOn w:val="982"/>
    <w:uiPriority w:val="22"/>
    <w:qFormat/>
    <w:pPr>
      <w:pBdr/>
      <w:spacing/>
      <w:ind/>
    </w:pPr>
    <w:rPr>
      <w:b/>
      <w:bCs/>
    </w:rPr>
  </w:style>
  <w:style w:type="character" w:styleId="1024">
    <w:name w:val="Emphasis"/>
    <w:basedOn w:val="982"/>
    <w:uiPriority w:val="20"/>
    <w:qFormat/>
    <w:pPr>
      <w:pBdr/>
      <w:spacing/>
      <w:ind/>
    </w:pPr>
    <w:rPr>
      <w:i/>
      <w:iCs/>
    </w:rPr>
  </w:style>
  <w:style w:type="paragraph" w:styleId="1025">
    <w:name w:val="Intense Quote"/>
    <w:link w:val="1026"/>
    <w:uiPriority w:val="30"/>
    <w:qFormat/>
    <w:pPr>
      <w:pBdr>
        <w:bottom w:val="single" w:color="4f81bd" w:themeColor="accent1" w:sz="4" w:space="4"/>
      </w:pBdr>
      <w:spacing w:after="280" w:before="200"/>
      <w:ind w:right="936" w:left="936"/>
    </w:pPr>
    <w:rPr>
      <w:b/>
      <w:bCs/>
      <w:i/>
      <w:iCs/>
      <w:color w:val="4f81bd" w:themeColor="accent1"/>
    </w:rPr>
  </w:style>
  <w:style w:type="character" w:styleId="1026" w:customStyle="1">
    <w:name w:val="Intense Quote Char"/>
    <w:basedOn w:val="982"/>
    <w:link w:val="1025"/>
    <w:uiPriority w:val="30"/>
    <w:pPr>
      <w:pBdr/>
      <w:spacing/>
      <w:ind/>
    </w:pPr>
    <w:rPr>
      <w:b/>
      <w:bCs/>
      <w:i/>
      <w:iCs/>
      <w:color w:val="4f81bd" w:themeColor="accent1"/>
    </w:rPr>
  </w:style>
  <w:style w:type="character" w:styleId="1027">
    <w:name w:val="Subtle Emphasis"/>
    <w:basedOn w:val="982"/>
    <w:uiPriority w:val="19"/>
    <w:qFormat/>
    <w:pPr>
      <w:pBdr/>
      <w:spacing/>
      <w:ind/>
    </w:pPr>
    <w:rPr>
      <w:i/>
      <w:iCs/>
      <w:color w:val="808080" w:themeColor="text1" w:themeTint="7F"/>
    </w:rPr>
  </w:style>
  <w:style w:type="character" w:styleId="1028">
    <w:name w:val="Intense Emphasis"/>
    <w:basedOn w:val="982"/>
    <w:uiPriority w:val="21"/>
    <w:qFormat/>
    <w:pPr>
      <w:pBdr/>
      <w:spacing/>
      <w:ind/>
    </w:pPr>
    <w:rPr>
      <w:b/>
      <w:bCs/>
      <w:i/>
      <w:iCs/>
      <w:color w:val="4f81bd" w:themeColor="accent1"/>
    </w:rPr>
  </w:style>
  <w:style w:type="character" w:styleId="1029">
    <w:name w:val="Subtle Reference"/>
    <w:basedOn w:val="982"/>
    <w:uiPriority w:val="31"/>
    <w:qFormat/>
    <w:pPr>
      <w:pBdr/>
      <w:spacing/>
      <w:ind/>
    </w:pPr>
    <w:rPr>
      <w:smallCaps/>
      <w:color w:val="c0504d" w:themeColor="accent2"/>
      <w:u w:val="single"/>
    </w:rPr>
  </w:style>
  <w:style w:type="character" w:styleId="1030">
    <w:name w:val="Intense Reference"/>
    <w:basedOn w:val="982"/>
    <w:uiPriority w:val="32"/>
    <w:qFormat/>
    <w:pPr>
      <w:pBdr/>
      <w:spacing/>
      <w:ind/>
    </w:pPr>
    <w:rPr>
      <w:b/>
      <w:bCs/>
      <w:smallCaps/>
      <w:color w:val="c0504d" w:themeColor="accent2"/>
      <w:spacing w:val="5"/>
      <w:u w:val="single"/>
    </w:rPr>
  </w:style>
  <w:style w:type="character" w:styleId="1031">
    <w:name w:val="Book Title"/>
    <w:basedOn w:val="982"/>
    <w:uiPriority w:val="33"/>
    <w:qFormat/>
    <w:pPr>
      <w:pBdr/>
      <w:spacing/>
      <w:ind/>
    </w:pPr>
    <w:rPr>
      <w:b/>
      <w:bCs/>
      <w:smallCaps/>
      <w:spacing w:val="5"/>
    </w:rPr>
  </w:style>
  <w:style w:type="paragraph" w:styleId="1032">
    <w:name w:val="TOC Heading"/>
    <w:uiPriority w:val="39"/>
    <w:semiHidden/>
    <w:unhideWhenUsed/>
    <w:qFormat/>
    <w:pPr>
      <w:pBdr/>
      <w:spacing/>
      <w:ind/>
      <w:outlineLvl w:val="9"/>
    </w:pPr>
  </w:style>
  <w:style w:type="table" w:styleId="1033">
    <w:name w:val="Table Grid"/>
    <w:basedOn w:val="98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ght Shading"/>
    <w:basedOn w:val="983"/>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ght Shading Accent 1"/>
    <w:basedOn w:val="983"/>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ght Shading Accent 2"/>
    <w:basedOn w:val="983"/>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ght Shading Accent 3"/>
    <w:basedOn w:val="983"/>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ght Shading Accent 4"/>
    <w:basedOn w:val="983"/>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ght Shading Accent 5"/>
    <w:basedOn w:val="983"/>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ght Shading Accent 6"/>
    <w:basedOn w:val="983"/>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ght List"/>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ght List Accent 1"/>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ght List Accent 2"/>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ght List Accent 3"/>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ght List Accent 4"/>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ght List Accent 5"/>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ght List Accent 6"/>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ght Grid"/>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ght Grid Accent 1"/>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ght Grid Accent 2"/>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ght Grid Accent 3"/>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ght Grid Accent 4"/>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ght Grid Accent 5"/>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ght Grid Accent 6"/>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Medium Shading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Medium Shading 1 Accent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Medium Shading 1 Accent 2"/>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Medium Shading 1 Accent 3"/>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Medium Shading 1 Accent 4"/>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Medium Shading 1 Accent 5"/>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Medium Shading 1 Accent 6"/>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Medium Shading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Medium Shading 2 Accent 1"/>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Medium Shading 2 Accent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Medium Shading 2 Accent 3"/>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Medium Shading 2 Accent 4"/>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Medium Shading 2 Accent 5"/>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Medium Shading 2 Accent 6"/>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Medium Lis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Medium List 1 Accen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Medium List 1 Accent 2"/>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Medium List 1 Accent 3"/>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name w:val="Medium List 1 Accent 4"/>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Medium List 1 Accent 5"/>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Medium List 1 Accent 6"/>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Medium Lis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Medium List 2 Accent 1"/>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Medium List 2 Accen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Medium List 2 Accent 3"/>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Medium List 2 Accent 4"/>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name w:val="Medium List 2 Accent 5"/>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name w:val="Medium List 2 Accent 6"/>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name w:val="Medium Grid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name w:val="Medium Grid 1 Accent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Medium Grid 1 Accent 2"/>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name w:val="Medium Grid 1 Accent 3"/>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name w:val="Medium Grid 1 Accent 4"/>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name w:val="Medium Grid 1 Accent 5"/>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name w:val="Medium Grid 1 Accent 6"/>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name w:val="Medium Grid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name w:val="Medium Grid 2 Accent 1"/>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name w:val="Medium Grid 2 Accent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name w:val="Medium Grid 2 Accent 3"/>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name w:val="Medium Grid 2 Accent 4"/>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name w:val="Medium Grid 2 Accent 5"/>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name w:val="Medium Grid 2 Accent 6"/>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name w:val="Medium Grid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name w:val="Medium Grid 3 Accent 1"/>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name w:val="Medium Grid 3 Accent 2"/>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name w:val="Medium Grid 3 Accent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name w:val="Medium Grid 3 Accent 4"/>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name w:val="Medium Grid 3 Accent 5"/>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name w:val="Medium Grid 3 Accent 6"/>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name w:val="Dark List"/>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name w:val="Dark List Accent 1"/>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name w:val="Dark List Accent 2"/>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name w:val="Dark List Accent 3"/>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name w:val="Dark List Accent 4"/>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name w:val="Dark List Accent 5"/>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name w:val="Dark List Accent 6"/>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name w:val="Colorful Shading"/>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name w:val="Colorful Shading Accent 1"/>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name w:val="Colorful Shading Accent 2"/>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4">
    <w:name w:val="Colorful Shading Accent 3"/>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5">
    <w:name w:val="Colorful Shading Accent 4"/>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6">
    <w:name w:val="Colorful Shading Accent 5"/>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7">
    <w:name w:val="Colorful Shading Accent 6"/>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8">
    <w:name w:val="Colorful List"/>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9">
    <w:name w:val="Colorful List Accent 1"/>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name w:val="Colorful List Accent 2"/>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name w:val="Colorful List Accent 3"/>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name w:val="Colorful List Accent 4"/>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name w:val="Colorful List Accent 5"/>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name w:val="Colorful List Accent 6"/>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name w:val="Colorful Grid"/>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name w:val="Colorful Grid Accent 1"/>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name w:val="Colorful Grid Accent 2"/>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name w:val="Colorful Grid Accent 3"/>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name w:val="Colorful Grid Accent 4"/>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name w:val="Colorful Grid Accent 5"/>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name w:val="Colorful Grid Accent 6"/>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glossaryDocument" Target="glossary/document.xml"/><Relationship Id="rId7" Type="http://schemas.openxmlformats.org/officeDocument/2006/relationships/numbering" Target="numbering.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customXml" Target="../customXml/item1.xml"/><Relationship Id="rId13" Type="http://schemas.openxmlformats.org/officeDocument/2006/relationships/image" Target="media/image1.png"/><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hyperlink" Target="MDR_Mandatory_Documents_and_Records_Register.xlsx" TargetMode="External"/><Relationship Id="rId17" Type="http://schemas.openxmlformats.org/officeDocument/2006/relationships/hyperlink" Target="DR_Document_Register.xlsx" TargetMode="External"/><Relationship Id="rId18" Type="http://schemas.openxmlformats.org/officeDocument/2006/relationships/hyperlink" Target="RRS_Records_Retention_Schedule_Register.xlsx" TargetMode="External"/><Relationship Id="rId19" Type="http://schemas.openxmlformats.org/officeDocument/2006/relationships/hyperlink" Target="AI_Asset_Inventory.xlsx" TargetMode="External"/><Relationship Id="rId20" Type="http://schemas.openxmlformats.org/officeDocument/2006/relationships/hyperlink" Target="ICP_Information_Classification_Policy.docx" TargetMode="External"/><Relationship Id="rId21" Type="http://schemas.openxmlformats.org/officeDocument/2006/relationships/hyperlink" Target="LMP_Logging_and_Monitoring_Policy.docx" TargetMode="External"/><Relationship Id="rId22" Type="http://schemas.openxmlformats.org/officeDocument/2006/relationships/hyperlink" Target="https://www.iso.org/standard/82875.html" TargetMode="External"/><Relationship Id="rId23" Type="http://schemas.openxmlformats.org/officeDocument/2006/relationships/hyperlink" Target="https://www.amazon.com/s?k=ISO+27001+for+Software+Companies+Implementation+and+Certification" TargetMode="External"/><Relationship Id="rId24" Type="http://schemas.openxmlformats.org/officeDocument/2006/relationships/hyperlink" Target="https://www.amazon.com/dp/978990898344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footnotes" Target="footnotes.xml"/><Relationship Id="rId6" Type="http://schemas.openxmlformats.org/officeDocument/2006/relationships/endnotes" Target="end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DefaultPlaceholder_TEXT"/>
        <w:category>
          <w:name w:val="Common"/>
          <w:gallery w:val="placeholder"/>
        </w:category>
        <w:types>
          <w:type w:val="bbPlcHdr"/>
        </w:types>
        <w:behaviors>
          <w:behavior w:val="content"/>
        </w:behaviors>
      </w:docPartPr>
      <w:docPartBody>
        <w:p>
          <w:pPr>
            <w:pBdr/>
            <w:spacing/>
            <w:ind/>
            <w:rPr/>
          </w:pPr>
          <w:r>
            <w:rPr>
              <w:rStyle w:val="966"/>
            </w:rPr>
            <w:t xml:space="preserve">Hier den Text eingeben</w:t>
          </w:r>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6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6">
    <w:name w:val="Table Grid"/>
    <w:basedOn w:val="163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7">
    <w:name w:val="Table Grid Light"/>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8">
    <w:name w:val="Plain Table 1"/>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9">
    <w:name w:val="Plain Table 2"/>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0">
    <w:name w:val="Plain Table 3"/>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1">
    <w:name w:val="Plain Table 4"/>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2">
    <w:name w:val="Plain Table 5"/>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3">
    <w:name w:val="Grid Table 1 Light"/>
    <w:basedOn w:val="163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4">
    <w:name w:val="Grid Table 1 Light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5">
    <w:name w:val="Grid Table 1 Light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6">
    <w:name w:val="Grid Table 1 Light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7">
    <w:name w:val="Grid Table 1 Light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8">
    <w:name w:val="Grid Table 1 Light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9">
    <w:name w:val="Grid Table 1 Light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0">
    <w:name w:val="Grid Table 2"/>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1">
    <w:name w:val="Grid Table 2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2">
    <w:name w:val="Grid Table 2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3">
    <w:name w:val="Grid Table 2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4">
    <w:name w:val="Grid Table 2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5">
    <w:name w:val="Grid Table 2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6">
    <w:name w:val="Grid Table 2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7">
    <w:name w:val="Grid Table 3"/>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8">
    <w:name w:val="Grid Table 3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9">
    <w:name w:val="Grid Table 3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0">
    <w:name w:val="Grid Table 3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1">
    <w:name w:val="Grid Table 3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2">
    <w:name w:val="Grid Table 3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3">
    <w:name w:val="Grid Table 3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4">
    <w:name w:val="Grid Table 4"/>
    <w:basedOn w:val="163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5">
    <w:name w:val="Grid Table 4 - Accent 1"/>
    <w:basedOn w:val="16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6">
    <w:name w:val="Grid Table 4 - Accent 2"/>
    <w:basedOn w:val="16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7">
    <w:name w:val="Grid Table 4 - Accent 3"/>
    <w:basedOn w:val="16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8">
    <w:name w:val="Grid Table 4 - Accent 4"/>
    <w:basedOn w:val="16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9">
    <w:name w:val="Grid Table 4 - Accent 5"/>
    <w:basedOn w:val="16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0">
    <w:name w:val="Grid Table 4 - Accent 6"/>
    <w:basedOn w:val="16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1">
    <w:name w:val="Grid Table 5 Dark"/>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2">
    <w:name w:val="Grid Table 5 Dark- Accent 1"/>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3">
    <w:name w:val="Grid Table 5 Dark - Accent 2"/>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4">
    <w:name w:val="Grid Table 5 Dark - Accent 3"/>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5">
    <w:name w:val="Grid Table 5 Dark- Accent 4"/>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6">
    <w:name w:val="Grid Table 5 Dark - Accent 5"/>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7">
    <w:name w:val="Grid Table 5 Dark - Accent 6"/>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8">
    <w:name w:val="Grid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679">
    <w:name w:val="Grid Table 6 Colorful - Accent 1"/>
    <w:basedOn w:val="16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680">
    <w:name w:val="Grid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681">
    <w:name w:val="Grid Table 6 Colorful - Accent 3"/>
    <w:basedOn w:val="16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682">
    <w:name w:val="Grid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683">
    <w:name w:val="Grid Table 6 Colorful - Accent 5"/>
    <w:basedOn w:val="16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4">
    <w:name w:val="Grid Table 6 Colorful - Accent 6"/>
    <w:basedOn w:val="16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5">
    <w:name w:val="Grid Table 7 Colorful"/>
    <w:basedOn w:val="163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6">
    <w:name w:val="Grid Table 7 Colorful - Accent 1"/>
    <w:basedOn w:val="16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7">
    <w:name w:val="Grid Table 7 Colorful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8">
    <w:name w:val="Grid Table 7 Colorful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9">
    <w:name w:val="Grid Table 7 Colorful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0">
    <w:name w:val="Grid Table 7 Colorful - Accent 5"/>
    <w:basedOn w:val="16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1">
    <w:name w:val="Grid Table 7 Colorful - Accent 6"/>
    <w:basedOn w:val="16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2">
    <w:name w:val="List Table 1 Light"/>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3">
    <w:name w:val="List Table 1 Light - Accent 1"/>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4">
    <w:name w:val="List Table 1 Light - Accent 2"/>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5">
    <w:name w:val="List Table 1 Light - Accent 3"/>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6">
    <w:name w:val="List Table 1 Light - Accent 4"/>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7">
    <w:name w:val="List Table 1 Light - Accent 5"/>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8">
    <w:name w:val="List Table 1 Light - Accent 6"/>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9">
    <w:name w:val="List Table 2"/>
    <w:basedOn w:val="163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0">
    <w:name w:val="List Table 2 - Accent 1"/>
    <w:basedOn w:val="16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1">
    <w:name w:val="List Table 2 - Accent 2"/>
    <w:basedOn w:val="16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2">
    <w:name w:val="List Table 2 - Accent 3"/>
    <w:basedOn w:val="16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3">
    <w:name w:val="List Table 2 - Accent 4"/>
    <w:basedOn w:val="16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4">
    <w:name w:val="List Table 2 - Accent 5"/>
    <w:basedOn w:val="16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5">
    <w:name w:val="List Table 2 - Accent 6"/>
    <w:basedOn w:val="16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6">
    <w:name w:val="List Table 3"/>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7">
    <w:name w:val="List Table 3 - Accent 1"/>
    <w:basedOn w:val="16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8">
    <w:name w:val="List Table 3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9">
    <w:name w:val="List Table 3 - Accent 3"/>
    <w:basedOn w:val="16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0">
    <w:name w:val="List Table 3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1">
    <w:name w:val="List Table 3 - Accent 5"/>
    <w:basedOn w:val="16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2">
    <w:name w:val="List Table 3 - Accent 6"/>
    <w:basedOn w:val="16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3">
    <w:name w:val="List Table 4"/>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4">
    <w:name w:val="List Table 4 - Accent 1"/>
    <w:basedOn w:val="16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5">
    <w:name w:val="List Table 4 - Accent 2"/>
    <w:basedOn w:val="16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6">
    <w:name w:val="List Table 4 - Accent 3"/>
    <w:basedOn w:val="16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7">
    <w:name w:val="List Table 4 - Accent 4"/>
    <w:basedOn w:val="16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8">
    <w:name w:val="List Table 4 - Accent 5"/>
    <w:basedOn w:val="16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9">
    <w:name w:val="List Table 4 - Accent 6"/>
    <w:basedOn w:val="16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0">
    <w:name w:val="List Table 5 Dark"/>
    <w:basedOn w:val="163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1">
    <w:name w:val="List Table 5 Dark - Accent 1"/>
    <w:basedOn w:val="16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2">
    <w:name w:val="List Table 5 Dark - Accent 2"/>
    <w:basedOn w:val="16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3">
    <w:name w:val="List Table 5 Dark - Accent 3"/>
    <w:basedOn w:val="16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4">
    <w:name w:val="List Table 5 Dark - Accent 4"/>
    <w:basedOn w:val="16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5">
    <w:name w:val="List Table 5 Dark - Accent 5"/>
    <w:basedOn w:val="16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6">
    <w:name w:val="List Table 5 Dark - Accent 6"/>
    <w:basedOn w:val="16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7">
    <w:name w:val="List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8">
    <w:name w:val="List Table 6 Colorful - Accent 1"/>
    <w:basedOn w:val="16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9">
    <w:name w:val="List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0">
    <w:name w:val="List Table 6 Colorful - Accent 3"/>
    <w:basedOn w:val="16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1">
    <w:name w:val="List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2">
    <w:name w:val="List Table 6 Colorful - Accent 5"/>
    <w:basedOn w:val="16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3">
    <w:name w:val="List Table 6 Colorful - Accent 6"/>
    <w:basedOn w:val="16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4">
    <w:name w:val="List Table 7 Colorful"/>
    <w:basedOn w:val="163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735">
    <w:name w:val="List Table 7 Colorful - Accent 1"/>
    <w:basedOn w:val="16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736">
    <w:name w:val="List Table 7 Colorful - Accent 2"/>
    <w:basedOn w:val="16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737">
    <w:name w:val="List Table 7 Colorful - Accent 3"/>
    <w:basedOn w:val="16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738">
    <w:name w:val="List Table 7 Colorful - Accent 4"/>
    <w:basedOn w:val="16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739">
    <w:name w:val="List Table 7 Colorful - Accent 5"/>
    <w:basedOn w:val="16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740">
    <w:name w:val="List Table 7 Colorful - Accent 6"/>
    <w:basedOn w:val="16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741">
    <w:name w:val="Lined - Accent"/>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2">
    <w:name w:val="Lined - Accent 1"/>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3">
    <w:name w:val="Lined - Accent 2"/>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4">
    <w:name w:val="Lined - Accent 3"/>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5">
    <w:name w:val="Lined - Accent 4"/>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6">
    <w:name w:val="Lined - Accent 5"/>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7">
    <w:name w:val="Lined - Accent 6"/>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8">
    <w:name w:val="Bordered &amp; Lined - Accent"/>
    <w:basedOn w:val="163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9">
    <w:name w:val="Bordered &amp; Lined - Accent 1"/>
    <w:basedOn w:val="163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0">
    <w:name w:val="Bordered &amp; Lined - Accent 2"/>
    <w:basedOn w:val="163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1">
    <w:name w:val="Bordered &amp; Lined - Accent 3"/>
    <w:basedOn w:val="163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2">
    <w:name w:val="Bordered &amp; Lined - Accent 4"/>
    <w:basedOn w:val="163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3">
    <w:name w:val="Bordered &amp; Lined - Accent 5"/>
    <w:basedOn w:val="163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4">
    <w:name w:val="Bordered &amp; Lined - Accent 6"/>
    <w:basedOn w:val="163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5">
    <w:name w:val="Bordered"/>
    <w:basedOn w:val="163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6">
    <w:name w:val="Bordered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7">
    <w:name w:val="Bordered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8">
    <w:name w:val="Bordered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9">
    <w:name w:val="Bordered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0">
    <w:name w:val="Bordered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1">
    <w:name w:val="Bordered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762" w:default="1">
    <w:name w:val="Normal"/>
    <w:qFormat/>
    <w:pPr>
      <w:pBdr/>
      <w:spacing/>
      <w:ind/>
    </w:pPr>
  </w:style>
  <w:style w:type="paragraph" w:styleId="1763">
    <w:name w:val="Heading 1"/>
    <w:basedOn w:val="1762"/>
    <w:next w:val="1762"/>
    <w:link w:val="1774"/>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764">
    <w:name w:val="Heading 2"/>
    <w:basedOn w:val="1762"/>
    <w:next w:val="1762"/>
    <w:link w:val="1775"/>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765">
    <w:name w:val="Heading 3"/>
    <w:basedOn w:val="1762"/>
    <w:next w:val="1762"/>
    <w:link w:val="1776"/>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766">
    <w:name w:val="Heading 4"/>
    <w:basedOn w:val="1762"/>
    <w:next w:val="1762"/>
    <w:link w:val="1777"/>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767">
    <w:name w:val="Heading 5"/>
    <w:basedOn w:val="1762"/>
    <w:next w:val="1762"/>
    <w:link w:val="177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768">
    <w:name w:val="Heading 6"/>
    <w:basedOn w:val="1762"/>
    <w:next w:val="1762"/>
    <w:link w:val="177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769">
    <w:name w:val="Heading 7"/>
    <w:basedOn w:val="1762"/>
    <w:next w:val="1762"/>
    <w:link w:val="178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770">
    <w:name w:val="Heading 8"/>
    <w:basedOn w:val="1762"/>
    <w:next w:val="1762"/>
    <w:link w:val="178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771">
    <w:name w:val="Heading 9"/>
    <w:basedOn w:val="1762"/>
    <w:next w:val="1762"/>
    <w:link w:val="178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772" w:default="1">
    <w:name w:val="Default Paragraph Font"/>
    <w:uiPriority w:val="1"/>
    <w:semiHidden/>
    <w:unhideWhenUsed/>
    <w:pPr>
      <w:pBdr/>
      <w:spacing/>
      <w:ind/>
    </w:pPr>
  </w:style>
  <w:style w:type="numbering" w:styleId="1773" w:default="1">
    <w:name w:val="No List"/>
    <w:uiPriority w:val="99"/>
    <w:semiHidden/>
    <w:unhideWhenUsed/>
    <w:pPr>
      <w:pBdr/>
      <w:spacing/>
      <w:ind/>
    </w:pPr>
  </w:style>
  <w:style w:type="character" w:styleId="1774">
    <w:name w:val="Heading 1 Char"/>
    <w:basedOn w:val="1772"/>
    <w:link w:val="1763"/>
    <w:uiPriority w:val="9"/>
    <w:pPr>
      <w:pBdr/>
      <w:spacing/>
      <w:ind/>
    </w:pPr>
    <w:rPr>
      <w:rFonts w:ascii="Arial" w:hAnsi="Arial" w:eastAsia="Arial" w:cs="Arial"/>
      <w:color w:val="0f4761" w:themeColor="accent1" w:themeShade="BF"/>
      <w:sz w:val="40"/>
      <w:szCs w:val="40"/>
    </w:rPr>
  </w:style>
  <w:style w:type="character" w:styleId="1775">
    <w:name w:val="Heading 2 Char"/>
    <w:basedOn w:val="1772"/>
    <w:link w:val="1764"/>
    <w:uiPriority w:val="9"/>
    <w:pPr>
      <w:pBdr/>
      <w:spacing/>
      <w:ind/>
    </w:pPr>
    <w:rPr>
      <w:rFonts w:ascii="Arial" w:hAnsi="Arial" w:eastAsia="Arial" w:cs="Arial"/>
      <w:color w:val="0f4761" w:themeColor="accent1" w:themeShade="BF"/>
      <w:sz w:val="32"/>
      <w:szCs w:val="32"/>
    </w:rPr>
  </w:style>
  <w:style w:type="character" w:styleId="1776">
    <w:name w:val="Heading 3 Char"/>
    <w:basedOn w:val="1772"/>
    <w:link w:val="1765"/>
    <w:uiPriority w:val="9"/>
    <w:pPr>
      <w:pBdr/>
      <w:spacing/>
      <w:ind/>
    </w:pPr>
    <w:rPr>
      <w:rFonts w:ascii="Arial" w:hAnsi="Arial" w:eastAsia="Arial" w:cs="Arial"/>
      <w:color w:val="0f4761" w:themeColor="accent1" w:themeShade="BF"/>
      <w:sz w:val="28"/>
      <w:szCs w:val="28"/>
    </w:rPr>
  </w:style>
  <w:style w:type="character" w:styleId="1777">
    <w:name w:val="Heading 4 Char"/>
    <w:basedOn w:val="1772"/>
    <w:link w:val="1766"/>
    <w:uiPriority w:val="9"/>
    <w:pPr>
      <w:pBdr/>
      <w:spacing/>
      <w:ind/>
    </w:pPr>
    <w:rPr>
      <w:rFonts w:ascii="Arial" w:hAnsi="Arial" w:eastAsia="Arial" w:cs="Arial"/>
      <w:i/>
      <w:iCs/>
      <w:color w:val="0f4761" w:themeColor="accent1" w:themeShade="BF"/>
    </w:rPr>
  </w:style>
  <w:style w:type="character" w:styleId="1778">
    <w:name w:val="Heading 5 Char"/>
    <w:basedOn w:val="1772"/>
    <w:link w:val="1767"/>
    <w:uiPriority w:val="9"/>
    <w:pPr>
      <w:pBdr/>
      <w:spacing/>
      <w:ind/>
    </w:pPr>
    <w:rPr>
      <w:rFonts w:ascii="Arial" w:hAnsi="Arial" w:eastAsia="Arial" w:cs="Arial"/>
      <w:color w:val="0f4761" w:themeColor="accent1" w:themeShade="BF"/>
    </w:rPr>
  </w:style>
  <w:style w:type="character" w:styleId="1779">
    <w:name w:val="Heading 6 Char"/>
    <w:basedOn w:val="1772"/>
    <w:link w:val="1768"/>
    <w:uiPriority w:val="9"/>
    <w:pPr>
      <w:pBdr/>
      <w:spacing/>
      <w:ind/>
    </w:pPr>
    <w:rPr>
      <w:rFonts w:ascii="Arial" w:hAnsi="Arial" w:eastAsia="Arial" w:cs="Arial"/>
      <w:i/>
      <w:iCs/>
      <w:color w:val="595959" w:themeColor="text1" w:themeTint="A6"/>
    </w:rPr>
  </w:style>
  <w:style w:type="character" w:styleId="1780">
    <w:name w:val="Heading 7 Char"/>
    <w:basedOn w:val="1772"/>
    <w:link w:val="1769"/>
    <w:uiPriority w:val="9"/>
    <w:pPr>
      <w:pBdr/>
      <w:spacing/>
      <w:ind/>
    </w:pPr>
    <w:rPr>
      <w:rFonts w:ascii="Arial" w:hAnsi="Arial" w:eastAsia="Arial" w:cs="Arial"/>
      <w:color w:val="595959" w:themeColor="text1" w:themeTint="A6"/>
    </w:rPr>
  </w:style>
  <w:style w:type="character" w:styleId="1781">
    <w:name w:val="Heading 8 Char"/>
    <w:basedOn w:val="1772"/>
    <w:link w:val="1770"/>
    <w:uiPriority w:val="9"/>
    <w:pPr>
      <w:pBdr/>
      <w:spacing/>
      <w:ind/>
    </w:pPr>
    <w:rPr>
      <w:rFonts w:ascii="Arial" w:hAnsi="Arial" w:eastAsia="Arial" w:cs="Arial"/>
      <w:i/>
      <w:iCs/>
      <w:color w:val="272727" w:themeColor="text1" w:themeTint="D8"/>
    </w:rPr>
  </w:style>
  <w:style w:type="character" w:styleId="1782">
    <w:name w:val="Heading 9 Char"/>
    <w:basedOn w:val="1772"/>
    <w:link w:val="1771"/>
    <w:uiPriority w:val="9"/>
    <w:pPr>
      <w:pBdr/>
      <w:spacing/>
      <w:ind/>
    </w:pPr>
    <w:rPr>
      <w:rFonts w:ascii="Arial" w:hAnsi="Arial" w:eastAsia="Arial" w:cs="Arial"/>
      <w:i/>
      <w:iCs/>
      <w:color w:val="272727" w:themeColor="text1" w:themeTint="D8"/>
    </w:rPr>
  </w:style>
  <w:style w:type="paragraph" w:styleId="1783">
    <w:name w:val="Title"/>
    <w:basedOn w:val="1762"/>
    <w:next w:val="1762"/>
    <w:link w:val="1784"/>
    <w:uiPriority w:val="10"/>
    <w:qFormat/>
    <w:pPr>
      <w:pBdr/>
      <w:spacing w:after="80" w:line="240" w:lineRule="auto"/>
      <w:ind/>
      <w:contextualSpacing w:val="true"/>
    </w:pPr>
    <w:rPr>
      <w:rFonts w:ascii="Arial" w:hAnsi="Arial" w:eastAsia="Arial" w:cs="Arial"/>
      <w:spacing w:val="-10"/>
      <w:sz w:val="56"/>
      <w:szCs w:val="56"/>
    </w:rPr>
  </w:style>
  <w:style w:type="character" w:styleId="1784">
    <w:name w:val="Title Char"/>
    <w:basedOn w:val="1772"/>
    <w:link w:val="1783"/>
    <w:uiPriority w:val="10"/>
    <w:pPr>
      <w:pBdr/>
      <w:spacing/>
      <w:ind/>
    </w:pPr>
    <w:rPr>
      <w:rFonts w:ascii="Arial" w:hAnsi="Arial" w:eastAsia="Arial" w:cs="Arial"/>
      <w:spacing w:val="-10"/>
      <w:sz w:val="56"/>
      <w:szCs w:val="56"/>
    </w:rPr>
  </w:style>
  <w:style w:type="paragraph" w:styleId="1785">
    <w:name w:val="Subtitle"/>
    <w:basedOn w:val="1762"/>
    <w:next w:val="1762"/>
    <w:link w:val="1786"/>
    <w:uiPriority w:val="11"/>
    <w:qFormat/>
    <w:pPr>
      <w:numPr>
        <w:ilvl w:val="1"/>
      </w:numPr>
      <w:pBdr/>
      <w:spacing/>
      <w:ind/>
    </w:pPr>
    <w:rPr>
      <w:color w:val="595959" w:themeColor="text1" w:themeTint="A6"/>
      <w:spacing w:val="15"/>
      <w:sz w:val="28"/>
      <w:szCs w:val="28"/>
    </w:rPr>
  </w:style>
  <w:style w:type="character" w:styleId="1786">
    <w:name w:val="Subtitle Char"/>
    <w:basedOn w:val="1772"/>
    <w:link w:val="1785"/>
    <w:uiPriority w:val="11"/>
    <w:pPr>
      <w:pBdr/>
      <w:spacing/>
      <w:ind/>
    </w:pPr>
    <w:rPr>
      <w:color w:val="595959" w:themeColor="text1" w:themeTint="A6"/>
      <w:spacing w:val="15"/>
      <w:sz w:val="28"/>
      <w:szCs w:val="28"/>
    </w:rPr>
  </w:style>
  <w:style w:type="paragraph" w:styleId="1787">
    <w:name w:val="Quote"/>
    <w:basedOn w:val="1762"/>
    <w:next w:val="1762"/>
    <w:link w:val="1788"/>
    <w:uiPriority w:val="29"/>
    <w:qFormat/>
    <w:pPr>
      <w:pBdr/>
      <w:spacing w:before="160"/>
      <w:ind/>
      <w:jc w:val="center"/>
    </w:pPr>
    <w:rPr>
      <w:i/>
      <w:iCs/>
      <w:color w:val="404040" w:themeColor="text1" w:themeTint="BF"/>
    </w:rPr>
  </w:style>
  <w:style w:type="character" w:styleId="1788">
    <w:name w:val="Quote Char"/>
    <w:basedOn w:val="1772"/>
    <w:link w:val="1787"/>
    <w:uiPriority w:val="29"/>
    <w:pPr>
      <w:pBdr/>
      <w:spacing/>
      <w:ind/>
    </w:pPr>
    <w:rPr>
      <w:i/>
      <w:iCs/>
      <w:color w:val="404040" w:themeColor="text1" w:themeTint="BF"/>
    </w:rPr>
  </w:style>
  <w:style w:type="paragraph" w:styleId="1789">
    <w:name w:val="List Paragraph"/>
    <w:basedOn w:val="1762"/>
    <w:uiPriority w:val="34"/>
    <w:qFormat/>
    <w:pPr>
      <w:pBdr/>
      <w:spacing/>
      <w:ind w:left="720"/>
      <w:contextualSpacing w:val="true"/>
    </w:pPr>
  </w:style>
  <w:style w:type="character" w:styleId="1790">
    <w:name w:val="Intense Emphasis"/>
    <w:basedOn w:val="1772"/>
    <w:uiPriority w:val="21"/>
    <w:qFormat/>
    <w:pPr>
      <w:pBdr/>
      <w:spacing/>
      <w:ind/>
    </w:pPr>
    <w:rPr>
      <w:i/>
      <w:iCs/>
      <w:color w:val="0f4761" w:themeColor="accent1" w:themeShade="BF"/>
    </w:rPr>
  </w:style>
  <w:style w:type="paragraph" w:styleId="1791">
    <w:name w:val="Intense Quote"/>
    <w:basedOn w:val="1762"/>
    <w:next w:val="1762"/>
    <w:link w:val="17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792">
    <w:name w:val="Intense Quote Char"/>
    <w:basedOn w:val="1772"/>
    <w:link w:val="1791"/>
    <w:uiPriority w:val="30"/>
    <w:pPr>
      <w:pBdr/>
      <w:spacing/>
      <w:ind/>
    </w:pPr>
    <w:rPr>
      <w:i/>
      <w:iCs/>
      <w:color w:val="0f4761" w:themeColor="accent1" w:themeShade="BF"/>
    </w:rPr>
  </w:style>
  <w:style w:type="character" w:styleId="1793">
    <w:name w:val="Intense Reference"/>
    <w:basedOn w:val="1772"/>
    <w:uiPriority w:val="32"/>
    <w:qFormat/>
    <w:pPr>
      <w:pBdr/>
      <w:spacing/>
      <w:ind/>
    </w:pPr>
    <w:rPr>
      <w:b/>
      <w:bCs/>
      <w:smallCaps/>
      <w:color w:val="0f4761" w:themeColor="accent1" w:themeShade="BF"/>
      <w:spacing w:val="5"/>
    </w:rPr>
  </w:style>
  <w:style w:type="paragraph" w:styleId="1794">
    <w:name w:val="No Spacing"/>
    <w:basedOn w:val="1762"/>
    <w:uiPriority w:val="1"/>
    <w:qFormat/>
    <w:pPr>
      <w:pBdr/>
      <w:spacing w:after="0" w:line="240" w:lineRule="auto"/>
      <w:ind/>
    </w:pPr>
  </w:style>
  <w:style w:type="character" w:styleId="1795">
    <w:name w:val="Subtle Emphasis"/>
    <w:basedOn w:val="1772"/>
    <w:uiPriority w:val="19"/>
    <w:qFormat/>
    <w:pPr>
      <w:pBdr/>
      <w:spacing/>
      <w:ind/>
    </w:pPr>
    <w:rPr>
      <w:i/>
      <w:iCs/>
      <w:color w:val="404040" w:themeColor="text1" w:themeTint="BF"/>
    </w:rPr>
  </w:style>
  <w:style w:type="character" w:styleId="1796">
    <w:name w:val="Emphasis"/>
    <w:basedOn w:val="1772"/>
    <w:uiPriority w:val="20"/>
    <w:qFormat/>
    <w:pPr>
      <w:pBdr/>
      <w:spacing/>
      <w:ind/>
    </w:pPr>
    <w:rPr>
      <w:i/>
      <w:iCs/>
    </w:rPr>
  </w:style>
  <w:style w:type="character" w:styleId="1797">
    <w:name w:val="Strong"/>
    <w:basedOn w:val="1772"/>
    <w:uiPriority w:val="22"/>
    <w:qFormat/>
    <w:pPr>
      <w:pBdr/>
      <w:spacing/>
      <w:ind/>
    </w:pPr>
    <w:rPr>
      <w:b/>
      <w:bCs/>
    </w:rPr>
  </w:style>
  <w:style w:type="character" w:styleId="1798">
    <w:name w:val="Subtle Reference"/>
    <w:basedOn w:val="1772"/>
    <w:uiPriority w:val="31"/>
    <w:qFormat/>
    <w:pPr>
      <w:pBdr/>
      <w:spacing/>
      <w:ind/>
    </w:pPr>
    <w:rPr>
      <w:smallCaps/>
      <w:color w:val="5a5a5a" w:themeColor="text1" w:themeTint="A5"/>
    </w:rPr>
  </w:style>
  <w:style w:type="character" w:styleId="1799">
    <w:name w:val="Book Title"/>
    <w:basedOn w:val="1772"/>
    <w:uiPriority w:val="33"/>
    <w:qFormat/>
    <w:pPr>
      <w:pBdr/>
      <w:spacing/>
      <w:ind/>
    </w:pPr>
    <w:rPr>
      <w:b/>
      <w:bCs/>
      <w:i/>
      <w:iCs/>
      <w:spacing w:val="5"/>
    </w:rPr>
  </w:style>
  <w:style w:type="paragraph" w:styleId="1800">
    <w:name w:val="Header"/>
    <w:basedOn w:val="1762"/>
    <w:link w:val="1801"/>
    <w:uiPriority w:val="99"/>
    <w:unhideWhenUsed/>
    <w:pPr>
      <w:pBdr/>
      <w:tabs>
        <w:tab w:val="center" w:leader="none" w:pos="4844"/>
        <w:tab w:val="right" w:leader="none" w:pos="9689"/>
      </w:tabs>
      <w:spacing w:after="0" w:line="240" w:lineRule="auto"/>
      <w:ind/>
    </w:pPr>
  </w:style>
  <w:style w:type="character" w:styleId="1801">
    <w:name w:val="Header Char"/>
    <w:basedOn w:val="1772"/>
    <w:link w:val="1800"/>
    <w:uiPriority w:val="99"/>
    <w:pPr>
      <w:pBdr/>
      <w:spacing/>
      <w:ind/>
    </w:pPr>
  </w:style>
  <w:style w:type="paragraph" w:styleId="1802">
    <w:name w:val="Footer"/>
    <w:basedOn w:val="1762"/>
    <w:link w:val="1803"/>
    <w:uiPriority w:val="99"/>
    <w:unhideWhenUsed/>
    <w:pPr>
      <w:pBdr/>
      <w:tabs>
        <w:tab w:val="center" w:leader="none" w:pos="4844"/>
        <w:tab w:val="right" w:leader="none" w:pos="9689"/>
      </w:tabs>
      <w:spacing w:after="0" w:line="240" w:lineRule="auto"/>
      <w:ind/>
    </w:pPr>
  </w:style>
  <w:style w:type="character" w:styleId="1803">
    <w:name w:val="Footer Char"/>
    <w:basedOn w:val="1772"/>
    <w:link w:val="1802"/>
    <w:uiPriority w:val="99"/>
    <w:pPr>
      <w:pBdr/>
      <w:spacing/>
      <w:ind/>
    </w:pPr>
  </w:style>
  <w:style w:type="paragraph" w:styleId="1804">
    <w:name w:val="Caption"/>
    <w:basedOn w:val="1762"/>
    <w:next w:val="1762"/>
    <w:uiPriority w:val="35"/>
    <w:unhideWhenUsed/>
    <w:qFormat/>
    <w:pPr>
      <w:pBdr/>
      <w:spacing w:after="200" w:line="240" w:lineRule="auto"/>
      <w:ind/>
    </w:pPr>
    <w:rPr>
      <w:i/>
      <w:iCs/>
      <w:color w:val="0e2841" w:themeColor="text2"/>
      <w:sz w:val="18"/>
      <w:szCs w:val="18"/>
    </w:rPr>
  </w:style>
  <w:style w:type="paragraph" w:styleId="1805">
    <w:name w:val="footnote text"/>
    <w:basedOn w:val="1762"/>
    <w:link w:val="1806"/>
    <w:uiPriority w:val="99"/>
    <w:semiHidden/>
    <w:unhideWhenUsed/>
    <w:pPr>
      <w:pBdr/>
      <w:spacing w:after="0" w:line="240" w:lineRule="auto"/>
      <w:ind/>
    </w:pPr>
    <w:rPr>
      <w:sz w:val="20"/>
      <w:szCs w:val="20"/>
    </w:rPr>
  </w:style>
  <w:style w:type="character" w:styleId="1806">
    <w:name w:val="Footnote Text Char"/>
    <w:basedOn w:val="1772"/>
    <w:link w:val="1805"/>
    <w:uiPriority w:val="99"/>
    <w:semiHidden/>
    <w:pPr>
      <w:pBdr/>
      <w:spacing/>
      <w:ind/>
    </w:pPr>
    <w:rPr>
      <w:sz w:val="20"/>
      <w:szCs w:val="20"/>
    </w:rPr>
  </w:style>
  <w:style w:type="character" w:styleId="1807">
    <w:name w:val="footnote reference"/>
    <w:basedOn w:val="1772"/>
    <w:uiPriority w:val="99"/>
    <w:semiHidden/>
    <w:unhideWhenUsed/>
    <w:pPr>
      <w:pBdr/>
      <w:spacing/>
      <w:ind/>
    </w:pPr>
    <w:rPr>
      <w:vertAlign w:val="superscript"/>
    </w:rPr>
  </w:style>
  <w:style w:type="paragraph" w:styleId="1808">
    <w:name w:val="endnote text"/>
    <w:basedOn w:val="1762"/>
    <w:link w:val="1809"/>
    <w:uiPriority w:val="99"/>
    <w:semiHidden/>
    <w:unhideWhenUsed/>
    <w:pPr>
      <w:pBdr/>
      <w:spacing w:after="0" w:line="240" w:lineRule="auto"/>
      <w:ind/>
    </w:pPr>
    <w:rPr>
      <w:sz w:val="20"/>
      <w:szCs w:val="20"/>
    </w:rPr>
  </w:style>
  <w:style w:type="character" w:styleId="1809">
    <w:name w:val="Endnote Text Char"/>
    <w:basedOn w:val="1772"/>
    <w:link w:val="1808"/>
    <w:uiPriority w:val="99"/>
    <w:semiHidden/>
    <w:pPr>
      <w:pBdr/>
      <w:spacing/>
      <w:ind/>
    </w:pPr>
    <w:rPr>
      <w:sz w:val="20"/>
      <w:szCs w:val="20"/>
    </w:rPr>
  </w:style>
  <w:style w:type="character" w:styleId="1810">
    <w:name w:val="endnote reference"/>
    <w:basedOn w:val="1772"/>
    <w:uiPriority w:val="99"/>
    <w:semiHidden/>
    <w:unhideWhenUsed/>
    <w:pPr>
      <w:pBdr/>
      <w:spacing/>
      <w:ind/>
    </w:pPr>
    <w:rPr>
      <w:vertAlign w:val="superscript"/>
    </w:rPr>
  </w:style>
  <w:style w:type="character" w:styleId="1811">
    <w:name w:val="Hyperlink"/>
    <w:basedOn w:val="1772"/>
    <w:uiPriority w:val="99"/>
    <w:unhideWhenUsed/>
    <w:pPr>
      <w:pBdr/>
      <w:spacing/>
      <w:ind/>
    </w:pPr>
    <w:rPr>
      <w:color w:val="0563c1" w:themeColor="hyperlink"/>
      <w:u w:val="single"/>
    </w:rPr>
  </w:style>
  <w:style w:type="character" w:styleId="1812">
    <w:name w:val="FollowedHyperlink"/>
    <w:basedOn w:val="1772"/>
    <w:uiPriority w:val="99"/>
    <w:semiHidden/>
    <w:unhideWhenUsed/>
    <w:pPr>
      <w:pBdr/>
      <w:spacing/>
      <w:ind/>
    </w:pPr>
    <w:rPr>
      <w:color w:val="954f72" w:themeColor="followedHyperlink"/>
      <w:u w:val="single"/>
    </w:rPr>
  </w:style>
  <w:style w:type="paragraph" w:styleId="1813">
    <w:name w:val="toc 1"/>
    <w:basedOn w:val="1762"/>
    <w:next w:val="1762"/>
    <w:uiPriority w:val="39"/>
    <w:unhideWhenUsed/>
    <w:pPr>
      <w:pBdr/>
      <w:spacing w:after="100"/>
      <w:ind/>
    </w:pPr>
  </w:style>
  <w:style w:type="paragraph" w:styleId="1814">
    <w:name w:val="toc 2"/>
    <w:basedOn w:val="1762"/>
    <w:next w:val="1762"/>
    <w:uiPriority w:val="39"/>
    <w:unhideWhenUsed/>
    <w:pPr>
      <w:pBdr/>
      <w:spacing w:after="100"/>
      <w:ind w:left="220"/>
    </w:pPr>
  </w:style>
  <w:style w:type="paragraph" w:styleId="1815">
    <w:name w:val="toc 3"/>
    <w:basedOn w:val="1762"/>
    <w:next w:val="1762"/>
    <w:uiPriority w:val="39"/>
    <w:unhideWhenUsed/>
    <w:pPr>
      <w:pBdr/>
      <w:spacing w:after="100"/>
      <w:ind w:left="440"/>
    </w:pPr>
  </w:style>
  <w:style w:type="paragraph" w:styleId="1816">
    <w:name w:val="toc 4"/>
    <w:basedOn w:val="1762"/>
    <w:next w:val="1762"/>
    <w:uiPriority w:val="39"/>
    <w:unhideWhenUsed/>
    <w:pPr>
      <w:pBdr/>
      <w:spacing w:after="100"/>
      <w:ind w:left="660"/>
    </w:pPr>
  </w:style>
  <w:style w:type="paragraph" w:styleId="1817">
    <w:name w:val="toc 5"/>
    <w:basedOn w:val="1762"/>
    <w:next w:val="1762"/>
    <w:uiPriority w:val="39"/>
    <w:unhideWhenUsed/>
    <w:pPr>
      <w:pBdr/>
      <w:spacing w:after="100"/>
      <w:ind w:left="880"/>
    </w:pPr>
  </w:style>
  <w:style w:type="paragraph" w:styleId="1818">
    <w:name w:val="toc 6"/>
    <w:basedOn w:val="1762"/>
    <w:next w:val="1762"/>
    <w:uiPriority w:val="39"/>
    <w:unhideWhenUsed/>
    <w:pPr>
      <w:pBdr/>
      <w:spacing w:after="100"/>
      <w:ind w:left="1100"/>
    </w:pPr>
  </w:style>
  <w:style w:type="paragraph" w:styleId="1819">
    <w:name w:val="toc 7"/>
    <w:basedOn w:val="1762"/>
    <w:next w:val="1762"/>
    <w:uiPriority w:val="39"/>
    <w:unhideWhenUsed/>
    <w:pPr>
      <w:pBdr/>
      <w:spacing w:after="100"/>
      <w:ind w:left="1320"/>
    </w:pPr>
  </w:style>
  <w:style w:type="paragraph" w:styleId="1820">
    <w:name w:val="toc 8"/>
    <w:basedOn w:val="1762"/>
    <w:next w:val="1762"/>
    <w:uiPriority w:val="39"/>
    <w:unhideWhenUsed/>
    <w:pPr>
      <w:pBdr/>
      <w:spacing w:after="100"/>
      <w:ind w:left="1540"/>
    </w:pPr>
  </w:style>
  <w:style w:type="paragraph" w:styleId="1821">
    <w:name w:val="toc 9"/>
    <w:basedOn w:val="1762"/>
    <w:next w:val="1762"/>
    <w:uiPriority w:val="39"/>
    <w:unhideWhenUsed/>
    <w:pPr>
      <w:pBdr/>
      <w:spacing w:after="100"/>
      <w:ind w:left="1760"/>
    </w:pPr>
  </w:style>
  <w:style w:type="character" w:styleId="1822">
    <w:name w:val="Placeholder Text"/>
    <w:basedOn w:val="1772"/>
    <w:uiPriority w:val="99"/>
    <w:semiHidden/>
    <w:pPr>
      <w:pBdr/>
      <w:spacing/>
      <w:ind/>
    </w:pPr>
    <w:rPr>
      <w:color w:val="666666"/>
    </w:rPr>
  </w:style>
  <w:style w:type="paragraph" w:styleId="1823">
    <w:name w:val="TOC Heading"/>
    <w:uiPriority w:val="39"/>
    <w:unhideWhenUsed/>
    <w:pPr>
      <w:pBdr/>
      <w:spacing/>
      <w:ind/>
    </w:pPr>
  </w:style>
  <w:style w:type="paragraph" w:styleId="1824">
    <w:name w:val="table of figures"/>
    <w:basedOn w:val="1762"/>
    <w:next w:val="1762"/>
    <w:uiPriority w:val="99"/>
    <w:unhideWhenUsed/>
    <w:pPr>
      <w:pBdr/>
      <w:spacing w:after="0" w:afterAutospacing="0"/>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Asset Standard</dc:title>
  <dc:subject>Official ExportableProof Companion Artifact IAS</dc:subject>
  <dc:creator>MessemerTech</dc:creator>
  <cp:keywords/>
  <dc:description>This artifact is part of the official ExportableProof Companion package issued by MessemerTech.</dc:description>
  <cp:revision>7</cp:revision>
  <dcterms:created xsi:type="dcterms:W3CDTF">2013-12-23T23:15:00Z</dcterms:created>
  <dcterms:modified xsi:type="dcterms:W3CDTF">2026-09-01T14:29:16Z</dcterms:modified>
  <cp:category>Plan</cp:category>
</cp:coreProperties>
</file>