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Human Resources Security Policy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is a fictional Arcfield worked example of HR-SEC-POL-002. It states operating rules for Human Resources Security Policy. The cover status is not a real management-team approval and not a certification statement. New numerical and method choices are EXAMPLE_DECISION and pending review. They are not ISO (International Organization for Standardization)/IEC 27001:2022 obligations and not a recovered Artifact Candidate page.</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HR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Policy</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policy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Before employment or engagement</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Onboarding and awareness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Role changes and access changes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Remote work and acceptable conduct</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Termination and post-engagement obligations</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Evidence expectations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Evidence and records</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References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Linked documents</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External references</w:t>
            </w:r>
            <w:r>
              <w:tab/>
            </w:r>
            <w:r>
              <w:fldChar w:fldCharType="begin"/>
              <w:instrText xml:space="preserve"> PAGEREF _TocRAM015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This file is a fictional Arcfield example, not your organization's approved policy. Copy this file as the controlled Word master for your ISMS (Information Security Management System) only after you replace Arcfield decisions with your own.</w:t>
      </w:r>
    </w:p>
    <w:p>
      <w:pPr>
        <w:pStyle w:val="1006"/>
        <w:ind w:left="360" w:hanging="259"/>
        <w:numPr>
          <w:ilvl w:val="0"/>
          <w:numId w:val="10"/>
        </w:numPr>
      </w:pPr>
      <w:r>
        <w:rPr>
          <w:b w:val="0"/>
        </w:rPr>
        <w:t>Treat HR-SEC-POL-002 and the rule IDs as the example identity. Cover status Approved is the Arcfield scenario freeze, not a real management-team sign-off of these new rule sentences.</w:t>
      </w:r>
    </w:p>
    <w:p>
      <w:pPr>
        <w:pStyle w:val="1006"/>
        <w:ind w:left="360" w:hanging="259"/>
        <w:numPr>
          <w:ilvl w:val="0"/>
          <w:numId w:val="10"/>
        </w:numPr>
      </w:pPr>
      <w:r>
        <w:rPr>
          <w:b w:val="0"/>
        </w:rPr>
        <w:t>Replace Arcfield names, methods and owners before you adopt the file.</w:t>
      </w:r>
    </w:p>
    <w:p>
      <w:pPr>
        <w:pStyle w:val="1006"/>
        <w:ind w:left="360" w:hanging="259"/>
        <w:numPr>
          <w:ilvl w:val="0"/>
          <w:numId w:val="10"/>
        </w:numPr>
      </w:pPr>
      <w:r>
        <w:rPr>
          <w:b w:val="0"/>
        </w:rPr>
        <w:t>Cite the Document Control version from related records. Do not copy this body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Support &amp; Resources (Clause 7)</w:t>
            </w:r>
          </w:p>
        </w:tc>
      </w:tr>
    </w:tbl>
    <w:p>
      <w:r>
        <w:br w:type="page"/>
      </w:r>
    </w:p>
    <w:p>
      <w:pPr>
        <w:pStyle w:val="973"/>
        <w:outlineLvl w:val="0"/>
      </w:pPr>
      <w:bookmarkStart w:id="5" w:name="_TocRAM001"/>
      <w:bookmarkStart w:id="2" w:name="ref_policy_content"/>
      <w:r>
        <w:t>Policy</w:t>
      </w:r>
      <w:bookmarkEnd w:id="2"/>
      <w:bookmarkEnd w:id="5"/>
    </w:p>
    <w:p>
      <w:pPr>
        <w:pStyle w:val="974"/>
        <w:outlineLvl w:val="1"/>
      </w:pPr>
      <w:bookmarkStart w:id="6" w:name="_TocRAM002"/>
      <w:r>
        <w:t>What this policy is</w:t>
      </w:r>
      <w:bookmarkEnd w:id="6"/>
    </w:p>
    <w:p>
      <w:r>
        <w:rPr>
          <w:b w:val="0"/>
        </w:rPr>
        <w:t>This document is Arcfield's Human Resources Security Policy, document ID HR-SEC-POL-002. It binds personnel-security duties before, during and after employment or engagement: screening, awareness, role-change access, conduct and termination obligations. It is not the ISMS Scope Statement, the Risk Assessment Methodology or the Statement of Applicability. It applies to Arcfield Platform production, customer data, CI/CD (Continuous Integration / Continuous Delivery), privileged access and critical suppliers. Neighbouring records cite this Document Control version. Do not copy these paragraphs into those records.</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7056"/>
        <w:gridCol w:w="3024"/>
      </w:tblGrid>
      <w:tr>
        <w:trPr>
          <w:tblHeader/>
          <w:cantSplit/>
        </w:trPr>
        <w:tc>
          <w:tcPr>
            <w:tcW w:type="dxa" w:w="7056"/>
            <w:shd w:fill="F7F9FC"/>
          </w:tcPr>
          <w:p>
            <w:r/>
            <w:r>
              <w:rPr>
                <w:b/>
                <w:color w:val="1F6FEB"/>
                <w:sz w:val="18"/>
              </w:rPr>
              <w:t>In this policy</w:t>
            </w:r>
          </w:p>
        </w:tc>
        <w:tc>
          <w:tcPr>
            <w:tcW w:type="dxa" w:w="3024"/>
            <w:shd w:fill="F7F9FC"/>
          </w:tcPr>
          <w:p>
            <w:r/>
            <w:r>
              <w:rPr>
                <w:b/>
                <w:color w:val="1F6FEB"/>
                <w:sz w:val="18"/>
              </w:rPr>
              <w:t>Not in this policy</w:t>
            </w:r>
          </w:p>
        </w:tc>
      </w:tr>
      <w:tr>
        <w:trPr>
          <w:cantSplit/>
        </w:trPr>
        <w:tc>
          <w:tcPr>
            <w:tcW w:type="dxa" w:w="7056"/>
          </w:tcPr>
          <w:p>
            <w:r/>
            <w:r>
              <w:rPr>
                <w:b w:val="0"/>
                <w:color w:val="1F2328"/>
                <w:sz w:val="18"/>
              </w:rPr>
              <w:t>The classified rules HRSP-PRE-001, HRSP-AWA-001, HRSP-CHG-001 through HRSP-EV-001, roles, the worked Arcfield example and the records this file owns.</w:t>
            </w:r>
          </w:p>
        </w:tc>
        <w:tc>
          <w:tcPr>
            <w:tcW w:type="dxa" w:w="3024"/>
          </w:tcPr>
          <w:p>
            <w:r/>
            <w:r>
              <w:rPr>
                <w:b w:val="0"/>
                <w:color w:val="1F2328"/>
                <w:sz w:val="18"/>
              </w:rPr>
              <w:t>The ISMS boundary (ISS), Annex A selection (SoA), or live neighbouring registers. Those files keep their own versions.</w:t>
            </w:r>
          </w:p>
        </w:tc>
      </w:tr>
      <w:tr>
        <w:trPr>
          <w:cantSplit/>
        </w:trPr>
        <w:tc>
          <w:tcPr>
            <w:tcW w:type="dxa" w:w="7056"/>
          </w:tcPr>
          <w:p>
            <w:r/>
            <w:r>
              <w:rPr>
                <w:b w:val="0"/>
                <w:color w:val="1F2328"/>
                <w:sz w:val="18"/>
              </w:rPr>
              <w:t>Interfaces that must cite this Document Control version, including CI/CD, identity and suppliers where they affect confidentiality, integrity or availability.</w:t>
            </w:r>
          </w:p>
        </w:tc>
        <w:tc>
          <w:tcPr>
            <w:tcW w:type="dxa" w:w="3024"/>
          </w:tcPr>
          <w:p>
            <w:r/>
            <w:r>
              <w:rPr>
                <w:b w:val="0"/>
                <w:color w:val="1F2328"/>
                <w:sz w:val="18"/>
              </w:rPr>
              <w:t>Live ISS or SoA decisions. Neighbouring live registers keep their own versions. Those files are named, not copied here.</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 Artefact ID ISO is Information Security Objectives, not the International Organization for Standardization.</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 An expired row does not authorise continued deviation.</w:t>
            </w:r>
          </w:p>
        </w:tc>
      </w:tr>
      <w:tr>
        <w:trPr>
          <w:cantSplit/>
        </w:trPr>
        <w:tc>
          <w:tcPr>
            <w:tcW w:type="dxa" w:w="2840"/>
          </w:tcPr>
          <w:p>
            <w:r/>
            <w:r>
              <w:rPr>
                <w:b w:val="0"/>
                <w:color w:val="1F2328"/>
                <w:sz w:val="18"/>
              </w:rPr>
              <w:t>Document Control version</w:t>
            </w:r>
          </w:p>
        </w:tc>
        <w:tc>
          <w:tcPr>
            <w:tcW w:type="dxa" w:w="7240"/>
          </w:tcPr>
          <w:p>
            <w:r/>
            <w:r>
              <w:rPr>
                <w:b w:val="0"/>
                <w:color w:val="1F2328"/>
                <w:sz w:val="18"/>
              </w:rPr>
              <w:t>The version cited from neighbouring records. Do not copy this body into those records.</w:t>
            </w:r>
          </w:p>
        </w:tc>
      </w:tr>
      <w:tr>
        <w:trPr>
          <w:cantSplit/>
        </w:trPr>
        <w:tc>
          <w:tcPr>
            <w:tcW w:type="dxa" w:w="2840"/>
          </w:tcPr>
          <w:p>
            <w:r/>
            <w:r>
              <w:rPr>
                <w:b w:val="0"/>
                <w:color w:val="1F2328"/>
                <w:sz w:val="18"/>
              </w:rPr>
              <w:t>Enforcement</w:t>
            </w:r>
          </w:p>
        </w:tc>
        <w:tc>
          <w:tcPr>
            <w:tcW w:type="dxa" w:w="7240"/>
          </w:tcPr>
          <w:p>
            <w:r/>
            <w:r>
              <w:rPr>
                <w:b w:val="0"/>
                <w:color w:val="1F2328"/>
                <w:sz w:val="18"/>
              </w:rPr>
              <w:t>The named system rejects the unauthorised attempt for the named population. Registration or capability is not enforcement.</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Cite the approved version. Do not copy their content. Availability follows the book pack, not this sentence.</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4"/>
        <w:outlineLvl w:val="1"/>
      </w:pPr>
      <w:bookmarkStart w:id="10" w:name="_TocRAM006"/>
      <w:r>
        <w:t>Before employment or engagement</w:t>
      </w:r>
      <w:bookmarkEnd w:id="10"/>
    </w:p>
    <w:p>
      <w:r>
        <w:rPr>
          <w:b w:val="0"/>
        </w:rPr>
        <w:t>Read HRSP-PRE-001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2008"/>
        <w:gridCol w:w="2152"/>
        <w:gridCol w:w="2480"/>
        <w:gridCol w:w="1288"/>
        <w:gridCol w:w="2152"/>
      </w:tblGrid>
      <w:tr>
        <w:trPr>
          <w:tblHeader/>
          <w:cantSplit/>
        </w:trPr>
        <w:tc>
          <w:tcPr>
            <w:tcW w:type="dxa" w:w="2008"/>
            <w:shd w:fill="F7F9FC"/>
          </w:tcPr>
          <w:p>
            <w:r/>
            <w:r>
              <w:rPr>
                <w:b/>
                <w:color w:val="1F6FEB"/>
                <w:sz w:val="18"/>
              </w:rPr>
              <w:t>Rule ID</w:t>
            </w:r>
          </w:p>
        </w:tc>
        <w:tc>
          <w:tcPr>
            <w:tcW w:type="dxa" w:w="2152"/>
            <w:shd w:fill="F7F9FC"/>
          </w:tcPr>
          <w:p>
            <w:r/>
            <w:r>
              <w:rPr>
                <w:b/>
                <w:color w:val="1F6FEB"/>
                <w:sz w:val="18"/>
              </w:rPr>
              <w:t>Statement</w:t>
            </w:r>
          </w:p>
        </w:tc>
        <w:tc>
          <w:tcPr>
            <w:tcW w:type="dxa" w:w="2480"/>
            <w:shd w:fill="F7F9FC"/>
          </w:tcPr>
          <w:p>
            <w:r/>
            <w:r>
              <w:rPr>
                <w:b/>
                <w:color w:val="1F6FEB"/>
                <w:sz w:val="18"/>
              </w:rPr>
              <w:t>Scope</w:t>
            </w:r>
          </w:p>
        </w:tc>
        <w:tc>
          <w:tcPr>
            <w:tcW w:type="dxa" w:w="1288"/>
            <w:shd w:fill="F7F9FC"/>
          </w:tcPr>
          <w:p>
            <w:r/>
            <w:r>
              <w:rPr>
                <w:b/>
                <w:color w:val="1F6FEB"/>
                <w:sz w:val="18"/>
              </w:rPr>
              <w:t>Owner</w:t>
            </w:r>
          </w:p>
        </w:tc>
        <w:tc>
          <w:tcPr>
            <w:tcW w:type="dxa" w:w="2152"/>
            <w:shd w:fill="F7F9FC"/>
          </w:tcPr>
          <w:p>
            <w:r/>
            <w:r>
              <w:rPr>
                <w:b/>
                <w:color w:val="1F6FEB"/>
                <w:sz w:val="18"/>
              </w:rPr>
              <w:t>Evidence expectation</w:t>
            </w:r>
          </w:p>
        </w:tc>
      </w:tr>
      <w:tr>
        <w:trPr>
          <w:cantSplit/>
        </w:trPr>
        <w:tc>
          <w:tcPr>
            <w:tcW w:type="dxa" w:w="2008"/>
          </w:tcPr>
          <w:p>
            <w:r/>
            <w:r>
              <w:rPr>
                <w:b w:val="0"/>
                <w:color w:val="1F2328"/>
                <w:sz w:val="18"/>
              </w:rPr>
              <w:t>HRSP-PRE-001</w:t>
            </w:r>
          </w:p>
        </w:tc>
        <w:tc>
          <w:tcPr>
            <w:tcW w:type="dxa" w:w="2152"/>
          </w:tcPr>
          <w:p>
            <w:r/>
            <w:r>
              <w:rPr>
                <w:b w:val="0"/>
                <w:color w:val="1F2328"/>
                <w:sz w:val="18"/>
              </w:rPr>
              <w:t>Screening appropriate to the role is completed before privileged or customer-data access is requested. An offer letter is not a screening record.</w:t>
            </w:r>
          </w:p>
        </w:tc>
        <w:tc>
          <w:tcPr>
            <w:tcW w:type="dxa" w:w="2480"/>
          </w:tcPr>
          <w:p>
            <w:r/>
            <w:r>
              <w:rPr>
                <w:b w:val="0"/>
                <w:color w:val="1F2328"/>
                <w:sz w:val="18"/>
              </w:rPr>
              <w:t>Roles with privileged or customer-data access.</w:t>
            </w:r>
          </w:p>
        </w:tc>
        <w:tc>
          <w:tcPr>
            <w:tcW w:type="dxa" w:w="1288"/>
          </w:tcPr>
          <w:p>
            <w:r/>
            <w:r>
              <w:rPr>
                <w:b w:val="0"/>
                <w:color w:val="1F2328"/>
                <w:sz w:val="18"/>
              </w:rPr>
              <w:t>HR Manager</w:t>
            </w:r>
          </w:p>
        </w:tc>
        <w:tc>
          <w:tcPr>
            <w:tcW w:type="dxa" w:w="2152"/>
          </w:tcPr>
          <w:p>
            <w:r/>
            <w:r>
              <w:rPr>
                <w:b w:val="0"/>
                <w:color w:val="1F2328"/>
                <w:sz w:val="18"/>
              </w:rPr>
              <w:t>Expected: screening record or documented equivalent. This rule stays HUMAN_REVIEW. No observation is supplied.</w:t>
            </w:r>
          </w:p>
        </w:tc>
      </w:tr>
    </w:tbl>
    <w:p>
      <w:pPr>
        <w:spacing w:before="0" w:after="120"/>
      </w:pPr>
    </w:p>
    <w:p>
      <w:pPr>
        <w:pStyle w:val="974"/>
        <w:outlineLvl w:val="1"/>
      </w:pPr>
      <w:bookmarkStart w:id="11" w:name="_TocRAM007"/>
      <w:r>
        <w:t>Onboarding and awareness</w:t>
      </w:r>
      <w:bookmarkEnd w:id="11"/>
    </w:p>
    <w:p>
      <w:r>
        <w:rPr>
          <w:b w:val="0"/>
        </w:rPr>
        <w:t>Read HRSP-AWA-001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2008"/>
        <w:gridCol w:w="2872"/>
        <w:gridCol w:w="1472"/>
        <w:gridCol w:w="1288"/>
        <w:gridCol w:w="2440"/>
      </w:tblGrid>
      <w:tr>
        <w:trPr>
          <w:tblHeader/>
          <w:cantSplit/>
        </w:trPr>
        <w:tc>
          <w:tcPr>
            <w:tcW w:type="dxa" w:w="2008"/>
            <w:shd w:fill="F7F9FC"/>
          </w:tcPr>
          <w:p>
            <w:r/>
            <w:r>
              <w:rPr>
                <w:b/>
                <w:color w:val="1F6FEB"/>
                <w:sz w:val="18"/>
              </w:rPr>
              <w:t>Rule ID</w:t>
            </w:r>
          </w:p>
        </w:tc>
        <w:tc>
          <w:tcPr>
            <w:tcW w:type="dxa" w:w="2872"/>
            <w:shd w:fill="F7F9FC"/>
          </w:tcPr>
          <w:p>
            <w:r/>
            <w:r>
              <w:rPr>
                <w:b/>
                <w:color w:val="1F6FEB"/>
                <w:sz w:val="18"/>
              </w:rPr>
              <w:t>Statement</w:t>
            </w:r>
          </w:p>
        </w:tc>
        <w:tc>
          <w:tcPr>
            <w:tcW w:type="dxa" w:w="1472"/>
            <w:shd w:fill="F7F9FC"/>
          </w:tcPr>
          <w:p>
            <w:r/>
            <w:r>
              <w:rPr>
                <w:b/>
                <w:color w:val="1F6FEB"/>
                <w:sz w:val="18"/>
              </w:rPr>
              <w:t>Scope</w:t>
            </w:r>
          </w:p>
        </w:tc>
        <w:tc>
          <w:tcPr>
            <w:tcW w:type="dxa" w:w="1288"/>
            <w:shd w:fill="F7F9FC"/>
          </w:tcPr>
          <w:p>
            <w:r/>
            <w:r>
              <w:rPr>
                <w:b/>
                <w:color w:val="1F6FEB"/>
                <w:sz w:val="18"/>
              </w:rPr>
              <w:t>Owner</w:t>
            </w:r>
          </w:p>
        </w:tc>
        <w:tc>
          <w:tcPr>
            <w:tcW w:type="dxa" w:w="2440"/>
            <w:shd w:fill="F7F9FC"/>
          </w:tcPr>
          <w:p>
            <w:r/>
            <w:r>
              <w:rPr>
                <w:b/>
                <w:color w:val="1F6FEB"/>
                <w:sz w:val="18"/>
              </w:rPr>
              <w:t>Evidence expectation</w:t>
            </w:r>
          </w:p>
        </w:tc>
      </w:tr>
      <w:tr>
        <w:trPr>
          <w:cantSplit/>
        </w:trPr>
        <w:tc>
          <w:tcPr>
            <w:tcW w:type="dxa" w:w="2008"/>
          </w:tcPr>
          <w:p>
            <w:r/>
            <w:r>
              <w:rPr>
                <w:b w:val="0"/>
                <w:color w:val="1F2328"/>
                <w:sz w:val="18"/>
              </w:rPr>
              <w:t>HRSP-AWA-001</w:t>
            </w:r>
          </w:p>
        </w:tc>
        <w:tc>
          <w:tcPr>
            <w:tcW w:type="dxa" w:w="2872"/>
          </w:tcPr>
          <w:p>
            <w:r/>
            <w:r>
              <w:rPr>
                <w:b w:val="0"/>
                <w:color w:val="1F2328"/>
                <w:sz w:val="18"/>
              </w:rPr>
              <w:t>In-scope personnel complete security-awareness assignment before unsupervised production access. A handbook in a drawer is not completion.</w:t>
            </w:r>
          </w:p>
        </w:tc>
        <w:tc>
          <w:tcPr>
            <w:tcW w:type="dxa" w:w="1472"/>
          </w:tcPr>
          <w:p>
            <w:r/>
            <w:r>
              <w:rPr>
                <w:b w:val="0"/>
                <w:color w:val="1F2328"/>
                <w:sz w:val="18"/>
              </w:rPr>
              <w:t>Joiners with Arcfield Platform access.</w:t>
            </w:r>
          </w:p>
        </w:tc>
        <w:tc>
          <w:tcPr>
            <w:tcW w:type="dxa" w:w="1288"/>
          </w:tcPr>
          <w:p>
            <w:r/>
            <w:r>
              <w:rPr>
                <w:b w:val="0"/>
                <w:color w:val="1F2328"/>
                <w:sz w:val="18"/>
              </w:rPr>
              <w:t>HR Manager</w:t>
            </w:r>
          </w:p>
        </w:tc>
        <w:tc>
          <w:tcPr>
            <w:tcW w:type="dxa" w:w="2440"/>
          </w:tcPr>
          <w:p>
            <w:r/>
            <w:r>
              <w:rPr>
                <w:b w:val="0"/>
                <w:color w:val="1F2328"/>
                <w:sz w:val="18"/>
              </w:rPr>
              <w:t>Expected: training-record completion date. No observation is supplied.</w:t>
            </w:r>
          </w:p>
        </w:tc>
      </w:tr>
    </w:tbl>
    <w:p>
      <w:pPr>
        <w:spacing w:before="0" w:after="120"/>
      </w:pPr>
    </w:p>
    <w:p>
      <w:pPr>
        <w:pStyle w:val="974"/>
        <w:outlineLvl w:val="1"/>
      </w:pPr>
      <w:bookmarkStart w:id="12" w:name="_TocRAM008"/>
      <w:r>
        <w:t>Role changes and access changes</w:t>
      </w:r>
      <w:bookmarkEnd w:id="12"/>
    </w:p>
    <w:p>
      <w:r>
        <w:rPr>
          <w:b w:val="0"/>
        </w:rPr>
        <w:t>Read HRSP-CHG-001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2008"/>
        <w:gridCol w:w="2152"/>
        <w:gridCol w:w="2768"/>
        <w:gridCol w:w="1288"/>
        <w:gridCol w:w="1864"/>
      </w:tblGrid>
      <w:tr>
        <w:trPr>
          <w:tblHeader/>
          <w:cantSplit/>
        </w:trPr>
        <w:tc>
          <w:tcPr>
            <w:tcW w:type="dxa" w:w="2008"/>
            <w:shd w:fill="F7F9FC"/>
          </w:tcPr>
          <w:p>
            <w:r/>
            <w:r>
              <w:rPr>
                <w:b/>
                <w:color w:val="1F6FEB"/>
                <w:sz w:val="18"/>
              </w:rPr>
              <w:t>Rule ID</w:t>
            </w:r>
          </w:p>
        </w:tc>
        <w:tc>
          <w:tcPr>
            <w:tcW w:type="dxa" w:w="2152"/>
            <w:shd w:fill="F7F9FC"/>
          </w:tcPr>
          <w:p>
            <w:r/>
            <w:r>
              <w:rPr>
                <w:b/>
                <w:color w:val="1F6FEB"/>
                <w:sz w:val="18"/>
              </w:rPr>
              <w:t>Statement</w:t>
            </w:r>
          </w:p>
        </w:tc>
        <w:tc>
          <w:tcPr>
            <w:tcW w:type="dxa" w:w="2768"/>
            <w:shd w:fill="F7F9FC"/>
          </w:tcPr>
          <w:p>
            <w:r/>
            <w:r>
              <w:rPr>
                <w:b/>
                <w:color w:val="1F6FEB"/>
                <w:sz w:val="18"/>
              </w:rPr>
              <w:t>Scope</w:t>
            </w:r>
          </w:p>
        </w:tc>
        <w:tc>
          <w:tcPr>
            <w:tcW w:type="dxa" w:w="128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2008"/>
          </w:tcPr>
          <w:p>
            <w:r/>
            <w:r>
              <w:rPr>
                <w:b w:val="0"/>
                <w:color w:val="1F2328"/>
                <w:sz w:val="18"/>
              </w:rPr>
              <w:t>HRSP-CHG-001</w:t>
            </w:r>
          </w:p>
        </w:tc>
        <w:tc>
          <w:tcPr>
            <w:tcW w:type="dxa" w:w="2152"/>
          </w:tcPr>
          <w:p>
            <w:r/>
            <w:r>
              <w:rPr>
                <w:b w:val="0"/>
                <w:color w:val="1F2328"/>
                <w:sz w:val="18"/>
              </w:rPr>
              <w:t>A move into privileged access repeats the screening and awareness checks required for that role. Previous low-privilege screening does not carry forward.</w:t>
            </w:r>
          </w:p>
        </w:tc>
        <w:tc>
          <w:tcPr>
            <w:tcW w:type="dxa" w:w="2768"/>
          </w:tcPr>
          <w:p>
            <w:r/>
            <w:r>
              <w:rPr>
                <w:b w:val="0"/>
                <w:color w:val="1F2328"/>
                <w:sz w:val="18"/>
              </w:rPr>
              <w:t>Movers into privileged or customer-data roles.</w:t>
            </w:r>
          </w:p>
        </w:tc>
        <w:tc>
          <w:tcPr>
            <w:tcW w:type="dxa" w:w="1288"/>
          </w:tcPr>
          <w:p>
            <w:r/>
            <w:r>
              <w:rPr>
                <w:b w:val="0"/>
                <w:color w:val="1F2328"/>
                <w:sz w:val="18"/>
              </w:rPr>
              <w:t>HR Manager</w:t>
            </w:r>
          </w:p>
        </w:tc>
        <w:tc>
          <w:tcPr>
            <w:tcW w:type="dxa" w:w="1864"/>
          </w:tcPr>
          <w:p>
            <w:r/>
            <w:r>
              <w:rPr>
                <w:b w:val="0"/>
                <w:color w:val="1F2328"/>
                <w:sz w:val="18"/>
              </w:rPr>
              <w:t>Expected: role-change checklist citing this Document Control version. No observation is supplied.</w:t>
            </w:r>
          </w:p>
        </w:tc>
      </w:tr>
    </w:tbl>
    <w:p>
      <w:pPr>
        <w:spacing w:before="0" w:after="120"/>
      </w:pPr>
    </w:p>
    <w:p>
      <w:pPr>
        <w:pStyle w:val="974"/>
        <w:outlineLvl w:val="1"/>
      </w:pPr>
      <w:bookmarkStart w:id="13" w:name="_TocRAM009"/>
      <w:r>
        <w:t>Remote work and acceptable conduct</w:t>
      </w:r>
      <w:bookmarkEnd w:id="13"/>
    </w:p>
    <w:p>
      <w:r>
        <w:rPr>
          <w:b w:val="0"/>
        </w:rPr>
        <w:t>Read HRSP-RMT-001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2008"/>
        <w:gridCol w:w="2152"/>
        <w:gridCol w:w="2008"/>
        <w:gridCol w:w="1288"/>
        <w:gridCol w:w="2624"/>
      </w:tblGrid>
      <w:tr>
        <w:trPr>
          <w:tblHeader/>
          <w:cantSplit/>
        </w:trPr>
        <w:tc>
          <w:tcPr>
            <w:tcW w:type="dxa" w:w="2008"/>
            <w:shd w:fill="F7F9FC"/>
          </w:tcPr>
          <w:p>
            <w:r/>
            <w:r>
              <w:rPr>
                <w:b/>
                <w:color w:val="1F6FEB"/>
                <w:sz w:val="18"/>
              </w:rPr>
              <w:t>Rule ID</w:t>
            </w:r>
          </w:p>
        </w:tc>
        <w:tc>
          <w:tcPr>
            <w:tcW w:type="dxa" w:w="2152"/>
            <w:shd w:fill="F7F9FC"/>
          </w:tcPr>
          <w:p>
            <w:r/>
            <w:r>
              <w:rPr>
                <w:b/>
                <w:color w:val="1F6FEB"/>
                <w:sz w:val="18"/>
              </w:rPr>
              <w:t>Statement</w:t>
            </w:r>
          </w:p>
        </w:tc>
        <w:tc>
          <w:tcPr>
            <w:tcW w:type="dxa" w:w="2008"/>
            <w:shd w:fill="F7F9FC"/>
          </w:tcPr>
          <w:p>
            <w:r/>
            <w:r>
              <w:rPr>
                <w:b/>
                <w:color w:val="1F6FEB"/>
                <w:sz w:val="18"/>
              </w:rPr>
              <w:t>Scope</w:t>
            </w:r>
          </w:p>
        </w:tc>
        <w:tc>
          <w:tcPr>
            <w:tcW w:type="dxa" w:w="1288"/>
            <w:shd w:fill="F7F9FC"/>
          </w:tcPr>
          <w:p>
            <w:r/>
            <w:r>
              <w:rPr>
                <w:b/>
                <w:color w:val="1F6FEB"/>
                <w:sz w:val="18"/>
              </w:rPr>
              <w:t>Owner</w:t>
            </w:r>
          </w:p>
        </w:tc>
        <w:tc>
          <w:tcPr>
            <w:tcW w:type="dxa" w:w="2624"/>
            <w:shd w:fill="F7F9FC"/>
          </w:tcPr>
          <w:p>
            <w:r/>
            <w:r>
              <w:rPr>
                <w:b/>
                <w:color w:val="1F6FEB"/>
                <w:sz w:val="18"/>
              </w:rPr>
              <w:t>Evidence expectation</w:t>
            </w:r>
          </w:p>
        </w:tc>
      </w:tr>
      <w:tr>
        <w:trPr>
          <w:cantSplit/>
        </w:trPr>
        <w:tc>
          <w:tcPr>
            <w:tcW w:type="dxa" w:w="2008"/>
          </w:tcPr>
          <w:p>
            <w:r/>
            <w:r>
              <w:rPr>
                <w:b w:val="0"/>
                <w:color w:val="1F2328"/>
                <w:sz w:val="18"/>
              </w:rPr>
              <w:t>HRSP-RMT-001</w:t>
            </w:r>
          </w:p>
        </w:tc>
        <w:tc>
          <w:tcPr>
            <w:tcW w:type="dxa" w:w="2152"/>
          </w:tcPr>
          <w:p>
            <w:r/>
            <w:r>
              <w:rPr>
                <w:b w:val="0"/>
                <w:color w:val="1F2328"/>
                <w:sz w:val="18"/>
              </w:rPr>
              <w:t>Remote work with customer data uses approved devices and locations. Public-screen processing of Restricted information is not authorised.</w:t>
            </w:r>
          </w:p>
        </w:tc>
        <w:tc>
          <w:tcPr>
            <w:tcW w:type="dxa" w:w="2008"/>
          </w:tcPr>
          <w:p>
            <w:r/>
            <w:r>
              <w:rPr>
                <w:b w:val="0"/>
                <w:color w:val="1F2328"/>
                <w:sz w:val="18"/>
              </w:rPr>
              <w:t>Personnel handling Confidential or Restricted Arcfield Platform information.</w:t>
            </w:r>
          </w:p>
        </w:tc>
        <w:tc>
          <w:tcPr>
            <w:tcW w:type="dxa" w:w="1288"/>
          </w:tcPr>
          <w:p>
            <w:r/>
            <w:r>
              <w:rPr>
                <w:b w:val="0"/>
                <w:color w:val="1F2328"/>
                <w:sz w:val="18"/>
              </w:rPr>
              <w:t>HR Manager</w:t>
            </w:r>
          </w:p>
        </w:tc>
        <w:tc>
          <w:tcPr>
            <w:tcW w:type="dxa" w:w="2624"/>
          </w:tcPr>
          <w:p>
            <w:r/>
            <w:r>
              <w:rPr>
                <w:b w:val="0"/>
                <w:color w:val="1F2328"/>
                <w:sz w:val="18"/>
              </w:rPr>
              <w:t>Expected: acceptable-use acknowledgement plus device record. No observation is supplied.</w:t>
            </w:r>
          </w:p>
        </w:tc>
      </w:tr>
    </w:tbl>
    <w:p>
      <w:pPr>
        <w:spacing w:before="0" w:after="120"/>
      </w:pPr>
    </w:p>
    <w:p>
      <w:pPr>
        <w:pStyle w:val="974"/>
        <w:outlineLvl w:val="1"/>
      </w:pPr>
      <w:bookmarkStart w:id="14" w:name="_TocRAM010"/>
      <w:r>
        <w:t>Termination and post-engagement obligations</w:t>
      </w:r>
      <w:bookmarkEnd w:id="14"/>
    </w:p>
    <w:p>
      <w:r>
        <w:rPr>
          <w:b w:val="0"/>
        </w:rPr>
        <w:t>Read HRSP-END-001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2008"/>
        <w:gridCol w:w="2584"/>
        <w:gridCol w:w="2336"/>
        <w:gridCol w:w="1288"/>
        <w:gridCol w:w="1864"/>
      </w:tblGrid>
      <w:tr>
        <w:trPr>
          <w:tblHeader/>
          <w:cantSplit/>
        </w:trPr>
        <w:tc>
          <w:tcPr>
            <w:tcW w:type="dxa" w:w="2008"/>
            <w:shd w:fill="F7F9FC"/>
          </w:tcPr>
          <w:p>
            <w:r/>
            <w:r>
              <w:rPr>
                <w:b/>
                <w:color w:val="1F6FEB"/>
                <w:sz w:val="18"/>
              </w:rPr>
              <w:t>Rule ID</w:t>
            </w:r>
          </w:p>
        </w:tc>
        <w:tc>
          <w:tcPr>
            <w:tcW w:type="dxa" w:w="2584"/>
            <w:shd w:fill="F7F9FC"/>
          </w:tcPr>
          <w:p>
            <w:r/>
            <w:r>
              <w:rPr>
                <w:b/>
                <w:color w:val="1F6FEB"/>
                <w:sz w:val="18"/>
              </w:rPr>
              <w:t>Statement</w:t>
            </w:r>
          </w:p>
        </w:tc>
        <w:tc>
          <w:tcPr>
            <w:tcW w:type="dxa" w:w="2336"/>
            <w:shd w:fill="F7F9FC"/>
          </w:tcPr>
          <w:p>
            <w:r/>
            <w:r>
              <w:rPr>
                <w:b/>
                <w:color w:val="1F6FEB"/>
                <w:sz w:val="18"/>
              </w:rPr>
              <w:t>Scope</w:t>
            </w:r>
          </w:p>
        </w:tc>
        <w:tc>
          <w:tcPr>
            <w:tcW w:type="dxa" w:w="128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2008"/>
          </w:tcPr>
          <w:p>
            <w:r/>
            <w:r>
              <w:rPr>
                <w:b w:val="0"/>
                <w:color w:val="1F2328"/>
                <w:sz w:val="18"/>
              </w:rPr>
              <w:t>HRSP-END-001</w:t>
            </w:r>
          </w:p>
        </w:tc>
        <w:tc>
          <w:tcPr>
            <w:tcW w:type="dxa" w:w="2584"/>
          </w:tcPr>
          <w:p>
            <w:r/>
            <w:r>
              <w:rPr>
                <w:b w:val="0"/>
                <w:color w:val="1F2328"/>
                <w:sz w:val="18"/>
              </w:rPr>
              <w:t>Confidentiality and return-of-assets obligations survive termination. Access revocation follows the leaver rule in HRP; this file does not reopen accounts.</w:t>
            </w:r>
          </w:p>
        </w:tc>
        <w:tc>
          <w:tcPr>
            <w:tcW w:type="dxa" w:w="2336"/>
          </w:tcPr>
          <w:p>
            <w:r/>
            <w:r>
              <w:rPr>
                <w:b w:val="0"/>
                <w:color w:val="1F2328"/>
                <w:sz w:val="18"/>
              </w:rPr>
              <w:t>Leavers and ended engagements.</w:t>
            </w:r>
          </w:p>
        </w:tc>
        <w:tc>
          <w:tcPr>
            <w:tcW w:type="dxa" w:w="1288"/>
          </w:tcPr>
          <w:p>
            <w:r/>
            <w:r>
              <w:rPr>
                <w:b w:val="0"/>
                <w:color w:val="1F2328"/>
                <w:sz w:val="18"/>
              </w:rPr>
              <w:t>HR Manager</w:t>
            </w:r>
          </w:p>
        </w:tc>
        <w:tc>
          <w:tcPr>
            <w:tcW w:type="dxa" w:w="1864"/>
          </w:tcPr>
          <w:p>
            <w:r/>
            <w:r>
              <w:rPr>
                <w:b w:val="0"/>
                <w:color w:val="1F2328"/>
                <w:sz w:val="18"/>
              </w:rPr>
              <w:t>Expected: leaver checklist plus UAI revocation. No observation is supplied.</w:t>
            </w:r>
          </w:p>
        </w:tc>
      </w:tr>
    </w:tbl>
    <w:p>
      <w:pPr>
        <w:spacing w:before="0" w:after="120"/>
      </w:pPr>
    </w:p>
    <w:p>
      <w:pPr>
        <w:pStyle w:val="974"/>
        <w:outlineLvl w:val="1"/>
      </w:pPr>
      <w:bookmarkStart w:id="15" w:name="_TocRAM011"/>
      <w:r>
        <w:t>Evidence expectations</w:t>
      </w:r>
      <w:bookmarkEnd w:id="15"/>
    </w:p>
    <w:p>
      <w:r>
        <w:rPr>
          <w:b w:val="0"/>
        </w:rPr>
        <w:t>Use this table to see what a named evidence ID can prove. It is not a log of collected observations.</w:t>
      </w:r>
    </w:p>
    <w:tbl>
      <w:tblPr>
        <w:tblStyle w:val="1033"/>
        <w:tblW w:type="dxa" w:w="10080"/>
        <w:jc w:val="left"/>
        <w:tblLayout w:type="fixed"/>
        <w:tblLook w:firstColumn="1" w:firstRow="1" w:lastColumn="0" w:lastRow="0" w:noHBand="0" w:noVBand="1" w:val="04A0"/>
      </w:tblPr>
      <w:tblGrid>
        <w:gridCol w:w="1864"/>
        <w:gridCol w:w="2008"/>
        <w:gridCol w:w="2912"/>
        <w:gridCol w:w="1288"/>
        <w:gridCol w:w="2008"/>
      </w:tblGrid>
      <w:tr>
        <w:trPr>
          <w:tblHeader/>
          <w:cantSplit/>
        </w:trPr>
        <w:tc>
          <w:tcPr>
            <w:tcW w:type="dxa" w:w="1864"/>
            <w:shd w:fill="F7F9FC"/>
          </w:tcPr>
          <w:p>
            <w:r/>
            <w:r>
              <w:rPr>
                <w:b/>
                <w:color w:val="1F6FEB"/>
                <w:sz w:val="18"/>
              </w:rPr>
              <w:t>Rule ID</w:t>
            </w:r>
          </w:p>
        </w:tc>
        <w:tc>
          <w:tcPr>
            <w:tcW w:type="dxa" w:w="2008"/>
            <w:shd w:fill="F7F9FC"/>
          </w:tcPr>
          <w:p>
            <w:r/>
            <w:r>
              <w:rPr>
                <w:b/>
                <w:color w:val="1F6FEB"/>
                <w:sz w:val="18"/>
              </w:rPr>
              <w:t>Statement</w:t>
            </w:r>
          </w:p>
        </w:tc>
        <w:tc>
          <w:tcPr>
            <w:tcW w:type="dxa" w:w="2912"/>
            <w:shd w:fill="F7F9FC"/>
          </w:tcPr>
          <w:p>
            <w:r/>
            <w:r>
              <w:rPr>
                <w:b/>
                <w:color w:val="1F6FEB"/>
                <w:sz w:val="18"/>
              </w:rPr>
              <w:t>Scope</w:t>
            </w:r>
          </w:p>
        </w:tc>
        <w:tc>
          <w:tcPr>
            <w:tcW w:type="dxa" w:w="1288"/>
            <w:shd w:fill="F7F9FC"/>
          </w:tcPr>
          <w:p>
            <w:r/>
            <w:r>
              <w:rPr>
                <w:b/>
                <w:color w:val="1F6FEB"/>
                <w:sz w:val="18"/>
              </w:rPr>
              <w:t>Owner</w:t>
            </w:r>
          </w:p>
        </w:tc>
        <w:tc>
          <w:tcPr>
            <w:tcW w:type="dxa" w:w="2008"/>
            <w:shd w:fill="F7F9FC"/>
          </w:tcPr>
          <w:p>
            <w:r/>
            <w:r>
              <w:rPr>
                <w:b/>
                <w:color w:val="1F6FEB"/>
                <w:sz w:val="18"/>
              </w:rPr>
              <w:t>Evidence expectation</w:t>
            </w:r>
          </w:p>
        </w:tc>
      </w:tr>
      <w:tr>
        <w:trPr>
          <w:cantSplit/>
        </w:trPr>
        <w:tc>
          <w:tcPr>
            <w:tcW w:type="dxa" w:w="1864"/>
          </w:tcPr>
          <w:p>
            <w:r/>
            <w:r>
              <w:rPr>
                <w:b w:val="0"/>
                <w:color w:val="1F2328"/>
                <w:sz w:val="18"/>
              </w:rPr>
              <w:t>HRSP-EV-001</w:t>
            </w:r>
          </w:p>
        </w:tc>
        <w:tc>
          <w:tcPr>
            <w:tcW w:type="dxa" w:w="2008"/>
          </w:tcPr>
          <w:p>
            <w:r/>
            <w:r>
              <w:rPr>
                <w:b w:val="0"/>
                <w:color w:val="1F2328"/>
                <w:sz w:val="18"/>
              </w:rPr>
              <w:t>Each rule above states an evidence expectation. An identifier without a bound dataset is not collected evidence.</w:t>
            </w:r>
          </w:p>
        </w:tc>
        <w:tc>
          <w:tcPr>
            <w:tcW w:type="dxa" w:w="2912"/>
          </w:tcPr>
          <w:p>
            <w:r/>
            <w:r>
              <w:rPr>
                <w:b w:val="0"/>
                <w:color w:val="1F2328"/>
                <w:sz w:val="18"/>
              </w:rPr>
              <w:t>All HRSP rules in this file.</w:t>
            </w:r>
          </w:p>
        </w:tc>
        <w:tc>
          <w:tcPr>
            <w:tcW w:type="dxa" w:w="1288"/>
          </w:tcPr>
          <w:p>
            <w:r/>
            <w:r>
              <w:rPr>
                <w:b w:val="0"/>
                <w:color w:val="1F2328"/>
                <w:sz w:val="18"/>
              </w:rPr>
              <w:t>HR Manager</w:t>
            </w:r>
          </w:p>
        </w:tc>
        <w:tc>
          <w:tcPr>
            <w:tcW w:type="dxa" w:w="2008"/>
          </w:tcPr>
          <w:p>
            <w:r/>
            <w:r>
              <w:rPr>
                <w:b w:val="0"/>
                <w:color w:val="1F2328"/>
                <w:sz w:val="18"/>
              </w:rPr>
              <w:t>Expected evidence reference; no evidence supplied. Do not render this row as an observation.</w:t>
            </w:r>
          </w:p>
        </w:tc>
      </w:tr>
    </w:tbl>
    <w:p>
      <w:pPr>
        <w:spacing w:before="0" w:after="120"/>
      </w:pPr>
    </w:p>
    <w:p>
      <w:pPr>
        <w:pStyle w:val="973"/>
        <w:outlineLvl w:val="0"/>
      </w:pPr>
      <w:bookmarkStart w:id="16" w:name="_TocRAM012"/>
      <w:bookmarkStart w:id="3" w:name="ref_evidence_and_records"/>
      <w:r>
        <w:t>Evidence and records</w:t>
      </w:r>
      <w:bookmarkEnd w:id="3"/>
      <w:bookmarkEnd w:id="16"/>
    </w:p>
    <w:p>
      <w:r>
        <w:rPr>
          <w:b w:val="0"/>
        </w:rPr>
        <w:t>These companions hold live records. This policy states what evidence it needs; it does not ship observations. An evidence ID without a dataset is an expectation. The Owner on the cover is accountable for those live records when you adopt the file.</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7" w:name="_TocRAM013"/>
      <w:bookmarkStart w:id="4" w:name="ref_external_references"/>
      <w:r>
        <w:t>References</w:t>
      </w:r>
      <w:bookmarkEnd w:id="4"/>
      <w:bookmarkEnd w:id="17"/>
    </w:p>
    <w:p>
      <w:pPr>
        <w:pStyle w:val="974"/>
        <w:outlineLvl w:val="1"/>
      </w:pPr>
      <w:bookmarkStart w:id="18" w:name="_TocRAM014"/>
      <w:r>
        <w:t>Linked documents</w:t>
      </w:r>
      <w:bookmarkEnd w:id="18"/>
    </w:p>
    <w:p>
      <w:r>
        <w:rPr>
          <w:b w:val="0"/>
        </w:rPr>
        <w:t>Availability is by book pack. In-pack files may sit next to this document after unpack. Other-book files are named, not shipped in this Office pack.</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 In this book's pack when present.</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 In this book's pack when present.</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 In this book's pack when present.</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 In this book's pack when present.</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 In this book's pack when present.</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 In this book's pack when present.</w:t>
      </w:r>
    </w:p>
    <w:p>
      <w:pPr>
        <w:pStyle w:val="1006"/>
        <w:ind w:left="360" w:hanging="259"/>
        <w:numPr>
          <w:ilvl w:val="0"/>
          <w:numId w:val="13"/>
        </w:numPr>
      </w:pPr>
      <w:hyperlink r:id="rId22" w:history="1">
        <w:r>
          <w:rPr>
            <w:color w:val="0563C1"/>
            <w:u w:val="single"/>
          </w:rPr>
          <w:t xml:space="preserve">TRC Training Records (Building the ISMS, Security Awareness &amp; Training Programs)</w:t>
        </w:r>
      </w:hyperlink>
      <w:r>
        <w:rPr>
          <w:b w:val="0"/>
        </w:rPr>
        <w:t xml:space="preserve"> — Interface record. Cite this Document Control version; do not copy this file into that record In this book's pack when present.</w:t>
      </w:r>
    </w:p>
    <w:p>
      <w:pPr>
        <w:pStyle w:val="974"/>
        <w:outlineLvl w:val="1"/>
      </w:pPr>
      <w:bookmarkStart w:id="19" w:name="_TocRAM015"/>
      <w:r>
        <w:t>External references</w:t>
      </w:r>
      <w:bookmarkEnd w:id="19"/>
    </w:p>
    <w:p>
      <w:r>
        <w:rPr>
          <w:b w:val="0"/>
        </w:rPr>
        <w:t>Cite these ISO clauses and book chapters from workshops and audits.</w:t>
      </w:r>
    </w:p>
    <w:p>
      <w:pPr>
        <w:pStyle w:val="1006"/>
        <w:ind w:left="360" w:hanging="259"/>
        <w:numPr>
          <w:ilvl w:val="0"/>
          <w:numId w:val="14"/>
        </w:numPr>
      </w:pPr>
      <w:hyperlink r:id="rId23"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4" w:history="1">
        <w:r>
          <w:rPr>
            <w:color w:val="0563C1"/>
            <w:u w:val="single"/>
          </w:rPr>
          <w:t xml:space="preserve">Building the ISMS, Support &amp; Resources (Clause 7)</w:t>
        </w:r>
      </w:hyperlink>
      <w:r>
        <w:rPr>
          <w:b w:val="0"/>
        </w:rPr>
        <w:t xml:space="preserve"> — Primary operating chapter for this companion artifact.</w:t>
      </w:r>
    </w:p>
    <w:p>
      <w:pPr>
        <w:pStyle w:val="1006"/>
        <w:ind w:left="360" w:hanging="259"/>
        <w:numPr>
          <w:ilvl w:val="0"/>
          <w:numId w:val="14"/>
        </w:numPr>
      </w:pPr>
      <w:hyperlink r:id="rId24" w:history="1">
        <w:r>
          <w:rPr>
            <w:color w:val="0563C1"/>
            <w:u w:val="single"/>
          </w:rPr>
          <w:t xml:space="preserve">Building the ISMS, Support &amp; Resources (Clause 7)</w:t>
        </w:r>
      </w:hyperlink>
      <w:r>
        <w:rPr>
          <w:b w:val="0"/>
        </w:rPr>
        <w:t xml:space="preserve"> — Primary operating chapter for this companion artifact.</w:t>
      </w:r>
    </w:p>
    <w:p>
      <w:pPr>
        <w:pStyle w:val="1006"/>
        <w:ind w:left="360" w:hanging="259"/>
        <w:numPr>
          <w:ilvl w:val="0"/>
          <w:numId w:val="14"/>
        </w:numPr>
      </w:pPr>
      <w:hyperlink r:id="rId24"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Human Resources Security Policy (HRSP)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TRC_Training_Records_Register.xlsx" TargetMode="External"/><Relationship Id="rId23" Type="http://schemas.openxmlformats.org/officeDocument/2006/relationships/hyperlink" Target="https://www.iso.org/standard/82875.html" TargetMode="External"/><Relationship Id="rId24"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Security Policy</dc:title>
  <dc:subject>Official ExportableProof Companion Artifact HRSP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Policy</cp:category>
</cp:coreProperties>
</file>