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Human Resources Policy</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is a fictional Arcfield worked example of HR-POL-001. It states operating rules for Human Resources Policy. The cover status is not a real management-team approval and not a certification statement. New numerical and method choices are EXAMPLE_DECISION and pending review. They are not ISO (International Organization for Standardization)/IEC 27001:2022 obligations and not a recovered Artifact Candidate page.</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HR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Top Management</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352"/>
        <w:gridCol w:w="1720"/>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352"/>
            <w:shd w:fill="F7F9FC"/>
          </w:tcPr>
          <w:p>
            <w:r/>
            <w:r>
              <w:rPr>
                <w:b/>
                <w:color w:val="1F6FEB"/>
                <w:sz w:val="18"/>
              </w:rPr>
              <w:t>Change</w:t>
            </w:r>
          </w:p>
        </w:tc>
        <w:tc>
          <w:tcPr>
            <w:tcW w:type="dxa" w:w="1720"/>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352"/>
          </w:tcPr>
          <w:p>
            <w:r/>
            <w:r>
              <w:rPr>
                <w:b w:val="0"/>
                <w:color w:val="1F2328"/>
                <w:sz w:val="18"/>
              </w:rPr>
              <w:t>Initial Arcfield Platform publication.</w:t>
            </w:r>
          </w:p>
        </w:tc>
        <w:tc>
          <w:tcPr>
            <w:tcW w:type="dxa" w:w="1720"/>
          </w:tcPr>
          <w:p>
            <w:r/>
            <w:r>
              <w:rPr>
                <w:b w:val="0"/>
                <w:color w:val="1F2328"/>
                <w:sz w:val="18"/>
              </w:rPr>
              <w:t>Top Management</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352"/>
          </w:tcPr>
          <w:p>
            <w:r/>
            <w:r>
              <w:rPr>
                <w:b w:val="0"/>
                <w:color w:val="1F2328"/>
                <w:sz w:val="18"/>
              </w:rPr>
              <w:t>Approved Arcfield worked example after the 11 September 2026 internal audit.</w:t>
            </w:r>
          </w:p>
        </w:tc>
        <w:tc>
          <w:tcPr>
            <w:tcW w:type="dxa" w:w="1720"/>
          </w:tcPr>
          <w:p>
            <w:r/>
            <w:r>
              <w:rPr>
                <w:b w:val="0"/>
                <w:color w:val="1F2328"/>
                <w:sz w:val="18"/>
              </w:rPr>
              <w:t>Top Management</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Policy</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What this policy is</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Scope</w:t>
            </w:r>
            <w:r>
              <w:tab/>
            </w:r>
            <w:r>
              <w:fldChar w:fldCharType="begin"/>
              <w:instrText xml:space="preserve"> PAGEREF _TocRAM003 \h </w:instrText>
              <w:fldChar w:fldCharType="separate"/>
              <w:t xml:space="preserve"> </w:t>
              <w:fldChar w:fldCharType="end"/>
            </w:r>
          </w:hyperlink>
        </w:p>
        <w:p>
          <w:pPr>
            <w:pStyle w:val="958"/>
            <w:tabs>
              <w:tab w:val="right" w:leader="dot" w:pos="10080"/>
            </w:tabs>
          </w:pPr>
          <w:hyperlink w:anchor="_TocRAM004" w:history="1">
            <w:r>
              <w:rPr>
                <w:rStyle w:val="955"/>
              </w:rPr>
              <w:t xml:space="preserve">Terms used here</w:t>
            </w:r>
            <w:r>
              <w:tab/>
            </w:r>
            <w:r>
              <w:fldChar w:fldCharType="begin"/>
              <w:instrText xml:space="preserve"> PAGEREF _TocRAM004 \h </w:instrText>
              <w:fldChar w:fldCharType="separate"/>
              <w:t xml:space="preserve"> </w:t>
              <w:fldChar w:fldCharType="end"/>
            </w:r>
          </w:hyperlink>
        </w:p>
        <w:p>
          <w:pPr>
            <w:pStyle w:val="958"/>
            <w:tabs>
              <w:tab w:val="right" w:leader="dot" w:pos="10080"/>
            </w:tabs>
          </w:pPr>
          <w:hyperlink w:anchor="_TocRAM005" w:history="1">
            <w:r>
              <w:rPr>
                <w:rStyle w:val="955"/>
              </w:rPr>
              <w:t xml:space="preserve">Systems, integrations and data</w:t>
            </w:r>
            <w:r>
              <w:tab/>
            </w:r>
            <w:r>
              <w:fldChar w:fldCharType="begin"/>
              <w:instrText xml:space="preserve"> PAGEREF _TocRAM005 \h </w:instrText>
              <w:fldChar w:fldCharType="separate"/>
              <w:t xml:space="preserve"> </w:t>
              <w:fldChar w:fldCharType="end"/>
            </w:r>
          </w:hyperlink>
        </w:p>
        <w:p>
          <w:pPr>
            <w:pStyle w:val="958"/>
            <w:tabs>
              <w:tab w:val="right" w:leader="dot" w:pos="10080"/>
            </w:tabs>
          </w:pPr>
          <w:hyperlink w:anchor="_TocRAM006" w:history="1">
            <w:r>
              <w:rPr>
                <w:rStyle w:val="955"/>
              </w:rPr>
              <w:t xml:space="preserve">Scope and responsibilities</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Joiner controls</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Mover controls</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During employment or engagement</w:t>
            </w:r>
            <w:r>
              <w:tab/>
            </w:r>
            <w:r>
              <w:fldChar w:fldCharType="begin"/>
              <w:instrText xml:space="preserve"> PAGEREF _TocRAM009 \h </w:instrText>
              <w:fldChar w:fldCharType="separate"/>
              <w:t xml:space="preserve"> </w:t>
              <w:fldChar w:fldCharType="end"/>
            </w:r>
          </w:hyperlink>
        </w:p>
        <w:p>
          <w:pPr>
            <w:pStyle w:val="958"/>
            <w:tabs>
              <w:tab w:val="right" w:leader="dot" w:pos="10080"/>
            </w:tabs>
          </w:pPr>
          <w:hyperlink w:anchor="_TocRAM010" w:history="1">
            <w:r>
              <w:rPr>
                <w:rStyle w:val="955"/>
              </w:rPr>
              <w:t xml:space="preserve">Contractor handling</w:t>
            </w:r>
            <w:r>
              <w:tab/>
            </w:r>
            <w:r>
              <w:fldChar w:fldCharType="begin"/>
              <w:instrText xml:space="preserve"> PAGEREF _TocRAM010 \h </w:instrText>
              <w:fldChar w:fldCharType="separate"/>
              <w:t xml:space="preserve"> </w:t>
              <w:fldChar w:fldCharType="end"/>
            </w:r>
          </w:hyperlink>
        </w:p>
        <w:p>
          <w:pPr>
            <w:pStyle w:val="958"/>
            <w:tabs>
              <w:tab w:val="right" w:leader="dot" w:pos="10080"/>
            </w:tabs>
          </w:pPr>
          <w:hyperlink w:anchor="_TocRAM011" w:history="1">
            <w:r>
              <w:rPr>
                <w:rStyle w:val="955"/>
              </w:rPr>
              <w:t xml:space="preserve">Leaver controls</w:t>
            </w:r>
            <w:r>
              <w:tab/>
            </w:r>
            <w:r>
              <w:fldChar w:fldCharType="begin"/>
              <w:instrText xml:space="preserve"> PAGEREF _TocRAM011 \h </w:instrText>
              <w:fldChar w:fldCharType="separate"/>
              <w:t xml:space="preserve"> </w:t>
              <w:fldChar w:fldCharType="end"/>
            </w:r>
          </w:hyperlink>
        </w:p>
        <w:p>
          <w:pPr>
            <w:pStyle w:val="958"/>
            <w:tabs>
              <w:tab w:val="right" w:leader="dot" w:pos="10080"/>
            </w:tabs>
          </w:pPr>
          <w:hyperlink w:anchor="_TocRAM012" w:history="1">
            <w:r>
              <w:rPr>
                <w:rStyle w:val="955"/>
              </w:rPr>
              <w:t xml:space="preserve">Evidence expectations</w:t>
            </w:r>
            <w:r>
              <w:tab/>
            </w:r>
            <w:r>
              <w:fldChar w:fldCharType="begin"/>
              <w:instrText xml:space="preserve"> PAGEREF _TocRAM012 \h </w:instrText>
              <w:fldChar w:fldCharType="separate"/>
              <w:t xml:space="preserve"> </w:t>
              <w:fldChar w:fldCharType="end"/>
            </w:r>
          </w:hyperlink>
        </w:p>
        <w:p>
          <w:pPr>
            <w:pStyle w:val="957"/>
            <w:tabs>
              <w:tab w:val="right" w:leader="dot" w:pos="10080"/>
            </w:tabs>
          </w:pPr>
          <w:hyperlink w:anchor="_TocRAM013" w:history="1">
            <w:r>
              <w:rPr>
                <w:rStyle w:val="955"/>
              </w:rPr>
              <w:t xml:space="preserve">Evidence and records</w:t>
            </w:r>
            <w:r>
              <w:tab/>
            </w:r>
            <w:r>
              <w:fldChar w:fldCharType="begin"/>
              <w:instrText xml:space="preserve"> PAGEREF _TocRAM013 \h </w:instrText>
              <w:fldChar w:fldCharType="separate"/>
              <w:t xml:space="preserve"> </w:t>
              <w:fldChar w:fldCharType="end"/>
            </w:r>
          </w:hyperlink>
        </w:p>
        <w:p>
          <w:pPr>
            <w:pStyle w:val="957"/>
            <w:tabs>
              <w:tab w:val="right" w:leader="dot" w:pos="10080"/>
            </w:tabs>
          </w:pPr>
          <w:hyperlink w:anchor="_TocRAM014" w:history="1">
            <w:r>
              <w:rPr>
                <w:rStyle w:val="955"/>
              </w:rPr>
              <w:t xml:space="preserve">References</w:t>
            </w:r>
            <w:r>
              <w:tab/>
            </w:r>
            <w:r>
              <w:fldChar w:fldCharType="begin"/>
              <w:instrText xml:space="preserve"> PAGEREF _TocRAM014 \h </w:instrText>
              <w:fldChar w:fldCharType="separate"/>
              <w:t xml:space="preserve"> </w:t>
              <w:fldChar w:fldCharType="end"/>
            </w:r>
          </w:hyperlink>
        </w:p>
        <w:p>
          <w:pPr>
            <w:pStyle w:val="958"/>
            <w:tabs>
              <w:tab w:val="right" w:leader="dot" w:pos="10080"/>
            </w:tabs>
          </w:pPr>
          <w:hyperlink w:anchor="_TocRAM015" w:history="1">
            <w:r>
              <w:rPr>
                <w:rStyle w:val="955"/>
              </w:rPr>
              <w:t xml:space="preserve">Linked documents</w:t>
            </w:r>
            <w:r>
              <w:tab/>
            </w:r>
            <w:r>
              <w:fldChar w:fldCharType="begin"/>
              <w:instrText xml:space="preserve"> PAGEREF _TocRAM015 \h </w:instrText>
              <w:fldChar w:fldCharType="separate"/>
              <w:t xml:space="preserve"> </w:t>
              <w:fldChar w:fldCharType="end"/>
            </w:r>
          </w:hyperlink>
        </w:p>
        <w:p>
          <w:pPr>
            <w:pStyle w:val="958"/>
            <w:tabs>
              <w:tab w:val="right" w:leader="dot" w:pos="10080"/>
            </w:tabs>
          </w:pPr>
          <w:hyperlink w:anchor="_TocRAM016" w:history="1">
            <w:r>
              <w:rPr>
                <w:rStyle w:val="955"/>
              </w:rPr>
              <w:t xml:space="preserve">External references</w:t>
            </w:r>
            <w:r>
              <w:tab/>
            </w:r>
            <w:r>
              <w:fldChar w:fldCharType="begin"/>
              <w:instrText xml:space="preserve"> PAGEREF _TocRAM016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This file is a fictional Arcfield example, not your organization's approved policy. Copy this file as the controlled Word master for your ISMS (Information Security Management System) only after you replace Arcfield decisions with your own.</w:t>
      </w:r>
    </w:p>
    <w:p>
      <w:pPr>
        <w:pStyle w:val="1006"/>
        <w:ind w:left="360" w:hanging="259"/>
        <w:numPr>
          <w:ilvl w:val="0"/>
          <w:numId w:val="10"/>
        </w:numPr>
      </w:pPr>
      <w:r>
        <w:rPr>
          <w:b w:val="0"/>
        </w:rPr>
        <w:t>Treat HR-POL-001 and the rule IDs as the example identity. Cover status Approved is the Arcfield scenario freeze, not a real management-team sign-off of these new rule sentences.</w:t>
      </w:r>
    </w:p>
    <w:p>
      <w:pPr>
        <w:pStyle w:val="1006"/>
        <w:ind w:left="360" w:hanging="259"/>
        <w:numPr>
          <w:ilvl w:val="0"/>
          <w:numId w:val="10"/>
        </w:numPr>
      </w:pPr>
      <w:r>
        <w:rPr>
          <w:b w:val="0"/>
        </w:rPr>
        <w:t>Replace Arcfield names, methods and owners before you adopt the file.</w:t>
      </w:r>
    </w:p>
    <w:p>
      <w:pPr>
        <w:pStyle w:val="1006"/>
        <w:ind w:left="360" w:hanging="259"/>
        <w:numPr>
          <w:ilvl w:val="0"/>
          <w:numId w:val="10"/>
        </w:numPr>
      </w:pPr>
      <w:r>
        <w:rPr>
          <w:b w:val="0"/>
        </w:rPr>
        <w:t>Cite the Document Control version from related records. Do not copy this body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Apply Instructions with named owners, systems and exportable evidence. Do not leave this chapter as a heading plus a bare table.</w:t>
              <w:br/>
              <w:br/>
              <w:t>Book reference: Building the ISMS, Support &amp; Resources (Clause 7)</w:t>
            </w:r>
          </w:p>
        </w:tc>
      </w:tr>
    </w:tbl>
    <w:p>
      <w:r>
        <w:br w:type="page"/>
      </w:r>
    </w:p>
    <w:p>
      <w:pPr>
        <w:pStyle w:val="973"/>
        <w:outlineLvl w:val="0"/>
      </w:pPr>
      <w:bookmarkStart w:id="5" w:name="_TocRAM001"/>
      <w:bookmarkStart w:id="2" w:name="ref_policy_content"/>
      <w:r>
        <w:t>Policy</w:t>
      </w:r>
      <w:bookmarkEnd w:id="2"/>
      <w:bookmarkEnd w:id="5"/>
    </w:p>
    <w:p>
      <w:pPr>
        <w:pStyle w:val="974"/>
        <w:outlineLvl w:val="1"/>
      </w:pPr>
      <w:bookmarkStart w:id="6" w:name="_TocRAM002"/>
      <w:r>
        <w:t>What this policy is</w:t>
      </w:r>
      <w:bookmarkEnd w:id="6"/>
    </w:p>
    <w:p>
      <w:r>
        <w:rPr>
          <w:b w:val="0"/>
        </w:rPr>
        <w:t>This document is Arcfield's Human Resources Policy, document ID HR-POL-001. It binds HR lifecycle controls that support security: joiners, movers, contractors and leavers for people with Arcfield Platform access. It is not the ISMS Scope Statement, the Risk Assessment Methodology or the Statement of Applicability. It applies to Arcfield Platform production, customer data, CI/CD (Continuous Integration / Continuous Delivery), privileged access and critical suppliers. Neighbouring records cite this Document Control version. Do not copy these paragraphs into those records.</w:t>
      </w:r>
    </w:p>
    <w:p>
      <w:pPr>
        <w:pStyle w:val="974"/>
        <w:outlineLvl w:val="1"/>
      </w:pPr>
      <w:bookmarkStart w:id="7" w:name="_TocRAM003"/>
      <w:r>
        <w:t>Scope</w:t>
      </w:r>
      <w:bookmarkEnd w:id="7"/>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7056"/>
        <w:gridCol w:w="3024"/>
      </w:tblGrid>
      <w:tr>
        <w:trPr>
          <w:tblHeader/>
          <w:cantSplit/>
        </w:trPr>
        <w:tc>
          <w:tcPr>
            <w:tcW w:type="dxa" w:w="7056"/>
            <w:shd w:fill="F7F9FC"/>
          </w:tcPr>
          <w:p>
            <w:r/>
            <w:r>
              <w:rPr>
                <w:b/>
                <w:color w:val="1F6FEB"/>
                <w:sz w:val="18"/>
              </w:rPr>
              <w:t>In this policy</w:t>
            </w:r>
          </w:p>
        </w:tc>
        <w:tc>
          <w:tcPr>
            <w:tcW w:type="dxa" w:w="3024"/>
            <w:shd w:fill="F7F9FC"/>
          </w:tcPr>
          <w:p>
            <w:r/>
            <w:r>
              <w:rPr>
                <w:b/>
                <w:color w:val="1F6FEB"/>
                <w:sz w:val="18"/>
              </w:rPr>
              <w:t>Not in this policy</w:t>
            </w:r>
          </w:p>
        </w:tc>
      </w:tr>
      <w:tr>
        <w:trPr>
          <w:cantSplit/>
        </w:trPr>
        <w:tc>
          <w:tcPr>
            <w:tcW w:type="dxa" w:w="7056"/>
          </w:tcPr>
          <w:p>
            <w:r/>
            <w:r>
              <w:rPr>
                <w:b w:val="0"/>
                <w:color w:val="1F2328"/>
                <w:sz w:val="18"/>
              </w:rPr>
              <w:t>The classified rules HRP-SCO-001, HRP-JN-001, HRP-MV-001 through HRP-EV-001, roles, the worked Arcfield example and the records this file owns.</w:t>
            </w:r>
          </w:p>
        </w:tc>
        <w:tc>
          <w:tcPr>
            <w:tcW w:type="dxa" w:w="3024"/>
          </w:tcPr>
          <w:p>
            <w:r/>
            <w:r>
              <w:rPr>
                <w:b w:val="0"/>
                <w:color w:val="1F2328"/>
                <w:sz w:val="18"/>
              </w:rPr>
              <w:t>The ISMS boundary (ISS), Annex A selection (SoA), or live neighbouring registers. Those files keep their own versions.</w:t>
            </w:r>
          </w:p>
        </w:tc>
      </w:tr>
      <w:tr>
        <w:trPr>
          <w:cantSplit/>
        </w:trPr>
        <w:tc>
          <w:tcPr>
            <w:tcW w:type="dxa" w:w="7056"/>
          </w:tcPr>
          <w:p>
            <w:r/>
            <w:r>
              <w:rPr>
                <w:b w:val="0"/>
                <w:color w:val="1F2328"/>
                <w:sz w:val="18"/>
              </w:rPr>
              <w:t>Interfaces that must cite this Document Control version, including CI/CD, identity and suppliers where they affect confidentiality, integrity or availability.</w:t>
            </w:r>
          </w:p>
        </w:tc>
        <w:tc>
          <w:tcPr>
            <w:tcW w:type="dxa" w:w="3024"/>
          </w:tcPr>
          <w:p>
            <w:r/>
            <w:r>
              <w:rPr>
                <w:b w:val="0"/>
                <w:color w:val="1F2328"/>
                <w:sz w:val="18"/>
              </w:rPr>
              <w:t>Live ISS or SoA decisions. Neighbouring live registers keep their own versions. Those files are named, not copied here.</w:t>
            </w:r>
          </w:p>
        </w:tc>
      </w:tr>
    </w:tbl>
    <w:p>
      <w:pPr>
        <w:spacing w:before="0" w:after="120"/>
      </w:pPr>
    </w:p>
    <w:p>
      <w:pPr>
        <w:pStyle w:val="974"/>
        <w:outlineLvl w:val="1"/>
      </w:pPr>
      <w:bookmarkStart w:id="8" w:name="_TocRAM004"/>
      <w:r>
        <w:t>Terms used here</w:t>
      </w:r>
      <w:bookmarkEnd w:id="8"/>
    </w:p>
    <w:p>
      <w:r>
        <w:rPr>
          <w:b w:val="0"/>
        </w:rPr>
        <w:t>These terms are local to this file. Expand every acronym on first use in the body. Artefact ID ISO is Information Security Objectives, not the International Organization for Standardization.</w:t>
      </w:r>
    </w:p>
    <w:tbl>
      <w:tblPr>
        <w:tblStyle w:val="1033"/>
        <w:tblW w:type="dxa" w:w="10080"/>
        <w:jc w:val="left"/>
        <w:tblLayout w:type="fixed"/>
        <w:tblLook w:firstColumn="1" w:firstRow="1" w:lastColumn="0" w:lastRow="0" w:noHBand="0" w:noVBand="1" w:val="04A0"/>
      </w:tblPr>
      <w:tblGrid>
        <w:gridCol w:w="2840"/>
        <w:gridCol w:w="7240"/>
      </w:tblGrid>
      <w:tr>
        <w:trPr>
          <w:tblHeader/>
          <w:cantSplit/>
        </w:trPr>
        <w:tc>
          <w:tcPr>
            <w:tcW w:type="dxa" w:w="2840"/>
            <w:shd w:fill="F7F9FC"/>
          </w:tcPr>
          <w:p>
            <w:r/>
            <w:r>
              <w:rPr>
                <w:b/>
                <w:color w:val="1F6FEB"/>
                <w:sz w:val="18"/>
              </w:rPr>
              <w:t>Term</w:t>
            </w:r>
          </w:p>
        </w:tc>
        <w:tc>
          <w:tcPr>
            <w:tcW w:type="dxa" w:w="7240"/>
            <w:shd w:fill="F7F9FC"/>
          </w:tcPr>
          <w:p>
            <w:r/>
            <w:r>
              <w:rPr>
                <w:b/>
                <w:color w:val="1F6FEB"/>
                <w:sz w:val="18"/>
              </w:rPr>
              <w:t>Meaning</w:t>
            </w:r>
          </w:p>
        </w:tc>
      </w:tr>
      <w:tr>
        <w:trPr>
          <w:cantSplit/>
        </w:trPr>
        <w:tc>
          <w:tcPr>
            <w:tcW w:type="dxa" w:w="2840"/>
          </w:tcPr>
          <w:p>
            <w:r/>
            <w:r>
              <w:rPr>
                <w:b w:val="0"/>
                <w:color w:val="1F2328"/>
                <w:sz w:val="18"/>
              </w:rPr>
              <w:t>Owner</w:t>
            </w:r>
          </w:p>
        </w:tc>
        <w:tc>
          <w:tcPr>
            <w:tcW w:type="dxa" w:w="7240"/>
          </w:tcPr>
          <w:p>
            <w:r/>
            <w:r>
              <w:rPr>
                <w:b w:val="0"/>
                <w:color w:val="1F2328"/>
                <w:sz w:val="18"/>
              </w:rPr>
              <w:t>The named role that can be called in an audit for an outcome. A team name is not an owner.</w:t>
            </w:r>
          </w:p>
        </w:tc>
      </w:tr>
      <w:tr>
        <w:trPr>
          <w:cantSplit/>
        </w:trPr>
        <w:tc>
          <w:tcPr>
            <w:tcW w:type="dxa" w:w="2840"/>
          </w:tcPr>
          <w:p>
            <w:r/>
            <w:r>
              <w:rPr>
                <w:b w:val="0"/>
                <w:color w:val="1F2328"/>
                <w:sz w:val="18"/>
              </w:rPr>
              <w:t>Exception</w:t>
            </w:r>
          </w:p>
        </w:tc>
        <w:tc>
          <w:tcPr>
            <w:tcW w:type="dxa" w:w="7240"/>
          </w:tcPr>
          <w:p>
            <w:r/>
            <w:r>
              <w:rPr>
                <w:b w:val="0"/>
                <w:color w:val="1F2328"/>
                <w:sz w:val="18"/>
              </w:rPr>
              <w:t>A time-bound, approved departure with expiry and a compensating control. An expired row does not authorise continued deviation.</w:t>
            </w:r>
          </w:p>
        </w:tc>
      </w:tr>
      <w:tr>
        <w:trPr>
          <w:cantSplit/>
        </w:trPr>
        <w:tc>
          <w:tcPr>
            <w:tcW w:type="dxa" w:w="2840"/>
          </w:tcPr>
          <w:p>
            <w:r/>
            <w:r>
              <w:rPr>
                <w:b w:val="0"/>
                <w:color w:val="1F2328"/>
                <w:sz w:val="18"/>
              </w:rPr>
              <w:t>Document Control version</w:t>
            </w:r>
          </w:p>
        </w:tc>
        <w:tc>
          <w:tcPr>
            <w:tcW w:type="dxa" w:w="7240"/>
          </w:tcPr>
          <w:p>
            <w:r/>
            <w:r>
              <w:rPr>
                <w:b w:val="0"/>
                <w:color w:val="1F2328"/>
                <w:sz w:val="18"/>
              </w:rPr>
              <w:t>The version cited from neighbouring records. Do not copy this body into those records.</w:t>
            </w:r>
          </w:p>
        </w:tc>
      </w:tr>
      <w:tr>
        <w:trPr>
          <w:cantSplit/>
        </w:trPr>
        <w:tc>
          <w:tcPr>
            <w:tcW w:type="dxa" w:w="2840"/>
          </w:tcPr>
          <w:p>
            <w:r/>
            <w:r>
              <w:rPr>
                <w:b w:val="0"/>
                <w:color w:val="1F2328"/>
                <w:sz w:val="18"/>
              </w:rPr>
              <w:t>Enforcement</w:t>
            </w:r>
          </w:p>
        </w:tc>
        <w:tc>
          <w:tcPr>
            <w:tcW w:type="dxa" w:w="7240"/>
          </w:tcPr>
          <w:p>
            <w:r/>
            <w:r>
              <w:rPr>
                <w:b w:val="0"/>
                <w:color w:val="1F2328"/>
                <w:sz w:val="18"/>
              </w:rPr>
              <w:t>The named system rejects the unauthorised attempt for the named population. Registration or capability is not enforcement.</w:t>
            </w:r>
          </w:p>
        </w:tc>
      </w:tr>
    </w:tbl>
    <w:p>
      <w:pPr>
        <w:spacing w:before="0" w:after="120"/>
      </w:pPr>
    </w:p>
    <w:p>
      <w:pPr>
        <w:pStyle w:val="974"/>
        <w:outlineLvl w:val="1"/>
      </w:pPr>
      <w:bookmarkStart w:id="9" w:name="_TocRAM005"/>
      <w:r>
        <w:t>Systems, integrations and data</w:t>
      </w:r>
      <w:bookmarkEnd w:id="9"/>
    </w:p>
    <w:p>
      <w:r>
        <w:rPr>
          <w:b w:val="0"/>
        </w:rPr>
        <w:t>Related inventories live in the companion documents named below. Cite the approved version. Do not copy their content. Availability follows the book pack, not this sentence.</w:t>
      </w:r>
    </w:p>
    <w:p>
      <w:pPr>
        <w:pStyle w:val="1006"/>
        <w:ind w:left="360" w:hanging="259"/>
        <w:numPr>
          <w:ilvl w:val="0"/>
          <w:numId w:val="11"/>
        </w:numPr>
      </w:pPr>
      <w:hyperlink r:id="rId16" w:history="1">
        <w:r>
          <w:rPr>
            <w:color w:val="0563C1"/>
            <w:u w:val="single"/>
          </w:rPr>
          <w:t xml:space="preserve">Asset Inventory</w:t>
        </w:r>
      </w:hyperlink>
      <w:r>
        <w:rPr>
          <w:b w:val="0"/>
        </w:rPr>
        <w:t xml:space="preserve"> — In-scope assets with owner, classification, hosting, personal-data flag and related risk.</w:t>
      </w:r>
    </w:p>
    <w:p>
      <w:pPr>
        <w:pStyle w:val="1006"/>
        <w:ind w:left="360" w:hanging="259"/>
        <w:numPr>
          <w:ilvl w:val="0"/>
          <w:numId w:val="11"/>
        </w:numPr>
      </w:pPr>
      <w:hyperlink r:id="rId17" w:history="1">
        <w:r>
          <w:rPr>
            <w:color w:val="0563C1"/>
            <w:u w:val="single"/>
          </w:rPr>
          <w:t xml:space="preserve">Supplier Inventory</w:t>
        </w:r>
      </w:hyperlink>
      <w:r>
        <w:rPr>
          <w:b w:val="0"/>
        </w:rPr>
        <w:t xml:space="preserve"> — Security-relevant suppliers with tier, due diligence, contract controls, subprocessors and exit planning.</w:t>
      </w:r>
    </w:p>
    <w:p>
      <w:pPr>
        <w:pStyle w:val="1006"/>
        <w:ind w:left="360" w:hanging="259"/>
        <w:numPr>
          <w:ilvl w:val="0"/>
          <w:numId w:val="11"/>
        </w:numPr>
      </w:pPr>
      <w:hyperlink r:id="rId18" w:history="1">
        <w:r>
          <w:rPr>
            <w:color w:val="0563C1"/>
            <w:u w:val="single"/>
          </w:rPr>
          <w:t xml:space="preserve">Users and Access Inventory</w:t>
        </w:r>
      </w:hyperlink>
      <w:r>
        <w:rPr>
          <w:b w:val="0"/>
        </w:rPr>
        <w:t xml:space="preserve"> — Users and accounts with access rights, privileged access, MFA status, reviews and revocations.</w:t>
      </w:r>
    </w:p>
    <w:p>
      <w:pPr>
        <w:pStyle w:val="974"/>
        <w:outlineLvl w:val="1"/>
      </w:pPr>
      <w:bookmarkStart w:id="10" w:name="_TocRAM006"/>
      <w:r>
        <w:t>Scope and responsibilities</w:t>
      </w:r>
      <w:bookmarkEnd w:id="10"/>
    </w:p>
    <w:p>
      <w:r>
        <w:rPr>
          <w:b w:val="0"/>
        </w:rPr>
        <w:t>Read HRP-SCO-001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864"/>
        <w:gridCol w:w="1720"/>
        <w:gridCol w:w="3344"/>
        <w:gridCol w:w="1288"/>
        <w:gridCol w:w="1864"/>
      </w:tblGrid>
      <w:tr>
        <w:trPr>
          <w:tblHeader/>
          <w:cantSplit/>
        </w:trPr>
        <w:tc>
          <w:tcPr>
            <w:tcW w:type="dxa" w:w="1864"/>
            <w:shd w:fill="F7F9FC"/>
          </w:tcPr>
          <w:p>
            <w:r/>
            <w:r>
              <w:rPr>
                <w:b/>
                <w:color w:val="1F6FEB"/>
                <w:sz w:val="18"/>
              </w:rPr>
              <w:t>Rule ID</w:t>
            </w:r>
          </w:p>
        </w:tc>
        <w:tc>
          <w:tcPr>
            <w:tcW w:type="dxa" w:w="1720"/>
            <w:shd w:fill="F7F9FC"/>
          </w:tcPr>
          <w:p>
            <w:r/>
            <w:r>
              <w:rPr>
                <w:b/>
                <w:color w:val="1F6FEB"/>
                <w:sz w:val="18"/>
              </w:rPr>
              <w:t>Statement</w:t>
            </w:r>
          </w:p>
        </w:tc>
        <w:tc>
          <w:tcPr>
            <w:tcW w:type="dxa" w:w="3344"/>
            <w:shd w:fill="F7F9FC"/>
          </w:tcPr>
          <w:p>
            <w:r/>
            <w:r>
              <w:rPr>
                <w:b/>
                <w:color w:val="1F6FEB"/>
                <w:sz w:val="18"/>
              </w:rPr>
              <w:t>Scope</w:t>
            </w:r>
          </w:p>
        </w:tc>
        <w:tc>
          <w:tcPr>
            <w:tcW w:type="dxa" w:w="1288"/>
            <w:shd w:fill="F7F9FC"/>
          </w:tcPr>
          <w:p>
            <w:r/>
            <w:r>
              <w:rPr>
                <w:b/>
                <w:color w:val="1F6FEB"/>
                <w:sz w:val="18"/>
              </w:rPr>
              <w:t>Owner</w:t>
            </w:r>
          </w:p>
        </w:tc>
        <w:tc>
          <w:tcPr>
            <w:tcW w:type="dxa" w:w="1864"/>
            <w:shd w:fill="F7F9FC"/>
          </w:tcPr>
          <w:p>
            <w:r/>
            <w:r>
              <w:rPr>
                <w:b/>
                <w:color w:val="1F6FEB"/>
                <w:sz w:val="18"/>
              </w:rPr>
              <w:t>Evidence expectation</w:t>
            </w:r>
          </w:p>
        </w:tc>
      </w:tr>
      <w:tr>
        <w:trPr>
          <w:cantSplit/>
        </w:trPr>
        <w:tc>
          <w:tcPr>
            <w:tcW w:type="dxa" w:w="1864"/>
          </w:tcPr>
          <w:p>
            <w:r/>
            <w:r>
              <w:rPr>
                <w:b w:val="0"/>
                <w:color w:val="1F2328"/>
                <w:sz w:val="18"/>
              </w:rPr>
              <w:t>HRP-SCO-001</w:t>
            </w:r>
          </w:p>
        </w:tc>
        <w:tc>
          <w:tcPr>
            <w:tcW w:type="dxa" w:w="1720"/>
          </w:tcPr>
          <w:p>
            <w:r/>
            <w:r>
              <w:rPr>
                <w:b w:val="0"/>
                <w:color w:val="1F2328"/>
                <w:sz w:val="18"/>
              </w:rPr>
              <w:t>HR Manager owns joiner, mover and leaver tickets. Identity Owner owns account changes. This policy does not grant production access by itself.</w:t>
            </w:r>
          </w:p>
        </w:tc>
        <w:tc>
          <w:tcPr>
            <w:tcW w:type="dxa" w:w="3344"/>
          </w:tcPr>
          <w:p>
            <w:r/>
            <w:r>
              <w:rPr>
                <w:b w:val="0"/>
                <w:color w:val="1F2328"/>
                <w:sz w:val="18"/>
              </w:rPr>
              <w:t>People with Arcfield Platform or customer-data access.</w:t>
            </w:r>
          </w:p>
        </w:tc>
        <w:tc>
          <w:tcPr>
            <w:tcW w:type="dxa" w:w="1288"/>
          </w:tcPr>
          <w:p>
            <w:r/>
            <w:r>
              <w:rPr>
                <w:b w:val="0"/>
                <w:color w:val="1F2328"/>
                <w:sz w:val="18"/>
              </w:rPr>
              <w:t>HR Manager</w:t>
            </w:r>
          </w:p>
        </w:tc>
        <w:tc>
          <w:tcPr>
            <w:tcW w:type="dxa" w:w="1864"/>
          </w:tcPr>
          <w:p>
            <w:r/>
            <w:r>
              <w:rPr>
                <w:b w:val="0"/>
                <w:color w:val="1F2328"/>
                <w:sz w:val="18"/>
              </w:rPr>
              <w:t>Expected: RACI or ticket assignment showing those two owners. No observation is supplied.</w:t>
            </w:r>
          </w:p>
        </w:tc>
      </w:tr>
    </w:tbl>
    <w:p>
      <w:pPr>
        <w:spacing w:before="0" w:after="120"/>
      </w:pPr>
    </w:p>
    <w:p>
      <w:pPr>
        <w:pStyle w:val="974"/>
        <w:outlineLvl w:val="1"/>
      </w:pPr>
      <w:bookmarkStart w:id="11" w:name="_TocRAM007"/>
      <w:r>
        <w:t>Joiner controls</w:t>
      </w:r>
      <w:bookmarkEnd w:id="11"/>
    </w:p>
    <w:p>
      <w:r>
        <w:rPr>
          <w:b w:val="0"/>
        </w:rPr>
        <w:t>Read HRP-JN-001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720"/>
        <w:gridCol w:w="2152"/>
        <w:gridCol w:w="1864"/>
        <w:gridCol w:w="1288"/>
        <w:gridCol w:w="3056"/>
      </w:tblGrid>
      <w:tr>
        <w:trPr>
          <w:tblHeader/>
          <w:cantSplit/>
        </w:trPr>
        <w:tc>
          <w:tcPr>
            <w:tcW w:type="dxa" w:w="1720"/>
            <w:shd w:fill="F7F9FC"/>
          </w:tcPr>
          <w:p>
            <w:r/>
            <w:r>
              <w:rPr>
                <w:b/>
                <w:color w:val="1F6FEB"/>
                <w:sz w:val="18"/>
              </w:rPr>
              <w:t>Rule ID</w:t>
            </w:r>
          </w:p>
        </w:tc>
        <w:tc>
          <w:tcPr>
            <w:tcW w:type="dxa" w:w="2152"/>
            <w:shd w:fill="F7F9FC"/>
          </w:tcPr>
          <w:p>
            <w:r/>
            <w:r>
              <w:rPr>
                <w:b/>
                <w:color w:val="1F6FEB"/>
                <w:sz w:val="18"/>
              </w:rPr>
              <w:t>Statement</w:t>
            </w:r>
          </w:p>
        </w:tc>
        <w:tc>
          <w:tcPr>
            <w:tcW w:type="dxa" w:w="1864"/>
            <w:shd w:fill="F7F9FC"/>
          </w:tcPr>
          <w:p>
            <w:r/>
            <w:r>
              <w:rPr>
                <w:b/>
                <w:color w:val="1F6FEB"/>
                <w:sz w:val="18"/>
              </w:rPr>
              <w:t>Scope</w:t>
            </w:r>
          </w:p>
        </w:tc>
        <w:tc>
          <w:tcPr>
            <w:tcW w:type="dxa" w:w="1288"/>
            <w:shd w:fill="F7F9FC"/>
          </w:tcPr>
          <w:p>
            <w:r/>
            <w:r>
              <w:rPr>
                <w:b/>
                <w:color w:val="1F6FEB"/>
                <w:sz w:val="18"/>
              </w:rPr>
              <w:t>Owner</w:t>
            </w:r>
          </w:p>
        </w:tc>
        <w:tc>
          <w:tcPr>
            <w:tcW w:type="dxa" w:w="3056"/>
            <w:shd w:fill="F7F9FC"/>
          </w:tcPr>
          <w:p>
            <w:r/>
            <w:r>
              <w:rPr>
                <w:b/>
                <w:color w:val="1F6FEB"/>
                <w:sz w:val="18"/>
              </w:rPr>
              <w:t>Evidence expectation</w:t>
            </w:r>
          </w:p>
        </w:tc>
      </w:tr>
      <w:tr>
        <w:trPr>
          <w:cantSplit/>
        </w:trPr>
        <w:tc>
          <w:tcPr>
            <w:tcW w:type="dxa" w:w="1720"/>
          </w:tcPr>
          <w:p>
            <w:r/>
            <w:r>
              <w:rPr>
                <w:b w:val="0"/>
                <w:color w:val="1F2328"/>
                <w:sz w:val="18"/>
              </w:rPr>
              <w:t>HRP-JN-001</w:t>
            </w:r>
          </w:p>
        </w:tc>
        <w:tc>
          <w:tcPr>
            <w:tcW w:type="dxa" w:w="2152"/>
          </w:tcPr>
          <w:p>
            <w:r/>
            <w:r>
              <w:rPr>
                <w:b w:val="0"/>
                <w:color w:val="1F2328"/>
                <w:sz w:val="18"/>
              </w:rPr>
              <w:t>A joiner does not receive production or customer-data access until identity is confirmed, this policy is acknowledged, and the access request is approved.</w:t>
            </w:r>
          </w:p>
        </w:tc>
        <w:tc>
          <w:tcPr>
            <w:tcW w:type="dxa" w:w="1864"/>
          </w:tcPr>
          <w:p>
            <w:r/>
            <w:r>
              <w:rPr>
                <w:b w:val="0"/>
                <w:color w:val="1F2328"/>
                <w:sz w:val="18"/>
              </w:rPr>
              <w:t>New employees and contractors requesting Arcfield Platform access.</w:t>
            </w:r>
          </w:p>
        </w:tc>
        <w:tc>
          <w:tcPr>
            <w:tcW w:type="dxa" w:w="1288"/>
          </w:tcPr>
          <w:p>
            <w:r/>
            <w:r>
              <w:rPr>
                <w:b w:val="0"/>
                <w:color w:val="1F2328"/>
                <w:sz w:val="18"/>
              </w:rPr>
              <w:t>HR Manager</w:t>
            </w:r>
          </w:p>
        </w:tc>
        <w:tc>
          <w:tcPr>
            <w:tcW w:type="dxa" w:w="3056"/>
          </w:tcPr>
          <w:p>
            <w:r/>
            <w:r>
              <w:rPr>
                <w:b w:val="0"/>
                <w:color w:val="1F2328"/>
                <w:sz w:val="18"/>
              </w:rPr>
              <w:t>Expected: acknowledgement plus approved access request before UAI activation. No observation is supplied.</w:t>
            </w:r>
          </w:p>
        </w:tc>
      </w:tr>
    </w:tbl>
    <w:p>
      <w:pPr>
        <w:spacing w:before="0" w:after="120"/>
      </w:pPr>
    </w:p>
    <w:p>
      <w:pPr>
        <w:pStyle w:val="974"/>
        <w:outlineLvl w:val="1"/>
      </w:pPr>
      <w:bookmarkStart w:id="12" w:name="_TocRAM008"/>
      <w:r>
        <w:t>Mover controls</w:t>
      </w:r>
      <w:bookmarkEnd w:id="12"/>
    </w:p>
    <w:p>
      <w:r>
        <w:rPr>
          <w:b w:val="0"/>
        </w:rPr>
        <w:t>Read HRP-MV-001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720"/>
        <w:gridCol w:w="2152"/>
        <w:gridCol w:w="3056"/>
        <w:gridCol w:w="1288"/>
        <w:gridCol w:w="1864"/>
      </w:tblGrid>
      <w:tr>
        <w:trPr>
          <w:tblHeader/>
          <w:cantSplit/>
        </w:trPr>
        <w:tc>
          <w:tcPr>
            <w:tcW w:type="dxa" w:w="1720"/>
            <w:shd w:fill="F7F9FC"/>
          </w:tcPr>
          <w:p>
            <w:r/>
            <w:r>
              <w:rPr>
                <w:b/>
                <w:color w:val="1F6FEB"/>
                <w:sz w:val="18"/>
              </w:rPr>
              <w:t>Rule ID</w:t>
            </w:r>
          </w:p>
        </w:tc>
        <w:tc>
          <w:tcPr>
            <w:tcW w:type="dxa" w:w="2152"/>
            <w:shd w:fill="F7F9FC"/>
          </w:tcPr>
          <w:p>
            <w:r/>
            <w:r>
              <w:rPr>
                <w:b/>
                <w:color w:val="1F6FEB"/>
                <w:sz w:val="18"/>
              </w:rPr>
              <w:t>Statement</w:t>
            </w:r>
          </w:p>
        </w:tc>
        <w:tc>
          <w:tcPr>
            <w:tcW w:type="dxa" w:w="3056"/>
            <w:shd w:fill="F7F9FC"/>
          </w:tcPr>
          <w:p>
            <w:r/>
            <w:r>
              <w:rPr>
                <w:b/>
                <w:color w:val="1F6FEB"/>
                <w:sz w:val="18"/>
              </w:rPr>
              <w:t>Scope</w:t>
            </w:r>
          </w:p>
        </w:tc>
        <w:tc>
          <w:tcPr>
            <w:tcW w:type="dxa" w:w="1288"/>
            <w:shd w:fill="F7F9FC"/>
          </w:tcPr>
          <w:p>
            <w:r/>
            <w:r>
              <w:rPr>
                <w:b/>
                <w:color w:val="1F6FEB"/>
                <w:sz w:val="18"/>
              </w:rPr>
              <w:t>Owner</w:t>
            </w:r>
          </w:p>
        </w:tc>
        <w:tc>
          <w:tcPr>
            <w:tcW w:type="dxa" w:w="1864"/>
            <w:shd w:fill="F7F9FC"/>
          </w:tcPr>
          <w:p>
            <w:r/>
            <w:r>
              <w:rPr>
                <w:b/>
                <w:color w:val="1F6FEB"/>
                <w:sz w:val="18"/>
              </w:rPr>
              <w:t>Evidence expectation</w:t>
            </w:r>
          </w:p>
        </w:tc>
      </w:tr>
      <w:tr>
        <w:trPr>
          <w:cantSplit/>
        </w:trPr>
        <w:tc>
          <w:tcPr>
            <w:tcW w:type="dxa" w:w="1720"/>
          </w:tcPr>
          <w:p>
            <w:r/>
            <w:r>
              <w:rPr>
                <w:b w:val="0"/>
                <w:color w:val="1F2328"/>
                <w:sz w:val="18"/>
              </w:rPr>
              <w:t>HRP-MV-001</w:t>
            </w:r>
          </w:p>
        </w:tc>
        <w:tc>
          <w:tcPr>
            <w:tcW w:type="dxa" w:w="2152"/>
          </w:tcPr>
          <w:p>
            <w:r/>
            <w:r>
              <w:rPr>
                <w:b w:val="0"/>
                <w:color w:val="1F2328"/>
                <w:sz w:val="18"/>
              </w:rPr>
              <w:t>A role change that adds or removes production or customer-data access is approved before the new rights are activated and the old rights are removed.</w:t>
            </w:r>
          </w:p>
        </w:tc>
        <w:tc>
          <w:tcPr>
            <w:tcW w:type="dxa" w:w="3056"/>
          </w:tcPr>
          <w:p>
            <w:r/>
            <w:r>
              <w:rPr>
                <w:b w:val="0"/>
                <w:color w:val="1F2328"/>
                <w:sz w:val="18"/>
              </w:rPr>
              <w:t>Internal movers with changed Arcfield Platform access.</w:t>
            </w:r>
          </w:p>
        </w:tc>
        <w:tc>
          <w:tcPr>
            <w:tcW w:type="dxa" w:w="1288"/>
          </w:tcPr>
          <w:p>
            <w:r/>
            <w:r>
              <w:rPr>
                <w:b w:val="0"/>
                <w:color w:val="1F2328"/>
                <w:sz w:val="18"/>
              </w:rPr>
              <w:t>HR Manager</w:t>
            </w:r>
          </w:p>
        </w:tc>
        <w:tc>
          <w:tcPr>
            <w:tcW w:type="dxa" w:w="1864"/>
          </w:tcPr>
          <w:p>
            <w:r/>
            <w:r>
              <w:rPr>
                <w:b w:val="0"/>
                <w:color w:val="1F2328"/>
                <w:sz w:val="18"/>
              </w:rPr>
              <w:t>Expected: mover ticket linked to UAI change. No observation is supplied.</w:t>
            </w:r>
          </w:p>
        </w:tc>
      </w:tr>
    </w:tbl>
    <w:p>
      <w:pPr>
        <w:spacing w:before="0" w:after="120"/>
      </w:pPr>
    </w:p>
    <w:p>
      <w:pPr>
        <w:pStyle w:val="974"/>
        <w:outlineLvl w:val="1"/>
      </w:pPr>
      <w:bookmarkStart w:id="13" w:name="_TocRAM009"/>
      <w:r>
        <w:t>During employment or engagement</w:t>
      </w:r>
      <w:bookmarkEnd w:id="13"/>
    </w:p>
    <w:p>
      <w:r>
        <w:rPr>
          <w:b w:val="0"/>
        </w:rPr>
        <w:t>Read HRP-DUR-001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864"/>
        <w:gridCol w:w="2440"/>
        <w:gridCol w:w="2048"/>
        <w:gridCol w:w="1288"/>
        <w:gridCol w:w="2440"/>
      </w:tblGrid>
      <w:tr>
        <w:trPr>
          <w:tblHeader/>
          <w:cantSplit/>
        </w:trPr>
        <w:tc>
          <w:tcPr>
            <w:tcW w:type="dxa" w:w="1864"/>
            <w:shd w:fill="F7F9FC"/>
          </w:tcPr>
          <w:p>
            <w:r/>
            <w:r>
              <w:rPr>
                <w:b/>
                <w:color w:val="1F6FEB"/>
                <w:sz w:val="18"/>
              </w:rPr>
              <w:t>Rule ID</w:t>
            </w:r>
          </w:p>
        </w:tc>
        <w:tc>
          <w:tcPr>
            <w:tcW w:type="dxa" w:w="2440"/>
            <w:shd w:fill="F7F9FC"/>
          </w:tcPr>
          <w:p>
            <w:r/>
            <w:r>
              <w:rPr>
                <w:b/>
                <w:color w:val="1F6FEB"/>
                <w:sz w:val="18"/>
              </w:rPr>
              <w:t>Statement</w:t>
            </w:r>
          </w:p>
        </w:tc>
        <w:tc>
          <w:tcPr>
            <w:tcW w:type="dxa" w:w="2048"/>
            <w:shd w:fill="F7F9FC"/>
          </w:tcPr>
          <w:p>
            <w:r/>
            <w:r>
              <w:rPr>
                <w:b/>
                <w:color w:val="1F6FEB"/>
                <w:sz w:val="18"/>
              </w:rPr>
              <w:t>Scope</w:t>
            </w:r>
          </w:p>
        </w:tc>
        <w:tc>
          <w:tcPr>
            <w:tcW w:type="dxa" w:w="1288"/>
            <w:shd w:fill="F7F9FC"/>
          </w:tcPr>
          <w:p>
            <w:r/>
            <w:r>
              <w:rPr>
                <w:b/>
                <w:color w:val="1F6FEB"/>
                <w:sz w:val="18"/>
              </w:rPr>
              <w:t>Owner</w:t>
            </w:r>
          </w:p>
        </w:tc>
        <w:tc>
          <w:tcPr>
            <w:tcW w:type="dxa" w:w="2440"/>
            <w:shd w:fill="F7F9FC"/>
          </w:tcPr>
          <w:p>
            <w:r/>
            <w:r>
              <w:rPr>
                <w:b/>
                <w:color w:val="1F6FEB"/>
                <w:sz w:val="18"/>
              </w:rPr>
              <w:t>Evidence expectation</w:t>
            </w:r>
          </w:p>
        </w:tc>
      </w:tr>
      <w:tr>
        <w:trPr>
          <w:cantSplit/>
        </w:trPr>
        <w:tc>
          <w:tcPr>
            <w:tcW w:type="dxa" w:w="1864"/>
          </w:tcPr>
          <w:p>
            <w:r/>
            <w:r>
              <w:rPr>
                <w:b w:val="0"/>
                <w:color w:val="1F2328"/>
                <w:sz w:val="18"/>
              </w:rPr>
              <w:t>HRP-DUR-001</w:t>
            </w:r>
          </w:p>
        </w:tc>
        <w:tc>
          <w:tcPr>
            <w:tcW w:type="dxa" w:w="2440"/>
          </w:tcPr>
          <w:p>
            <w:r/>
            <w:r>
              <w:rPr>
                <w:b w:val="0"/>
                <w:color w:val="1F2328"/>
                <w:sz w:val="18"/>
              </w:rPr>
              <w:t>Competence and conduct obligations stay in force while access exists. Annual acknowledgement is required for in-scope personnel.</w:t>
            </w:r>
          </w:p>
        </w:tc>
        <w:tc>
          <w:tcPr>
            <w:tcW w:type="dxa" w:w="2048"/>
          </w:tcPr>
          <w:p>
            <w:r/>
            <w:r>
              <w:rPr>
                <w:b w:val="0"/>
                <w:color w:val="1F2328"/>
                <w:sz w:val="18"/>
              </w:rPr>
              <w:t>Active personnel with Arcfield Platform access.</w:t>
            </w:r>
          </w:p>
        </w:tc>
        <w:tc>
          <w:tcPr>
            <w:tcW w:type="dxa" w:w="1288"/>
          </w:tcPr>
          <w:p>
            <w:r/>
            <w:r>
              <w:rPr>
                <w:b w:val="0"/>
                <w:color w:val="1F2328"/>
                <w:sz w:val="18"/>
              </w:rPr>
              <w:t>HR Manager</w:t>
            </w:r>
          </w:p>
        </w:tc>
        <w:tc>
          <w:tcPr>
            <w:tcW w:type="dxa" w:w="2440"/>
          </w:tcPr>
          <w:p>
            <w:r/>
            <w:r>
              <w:rPr>
                <w:b w:val="0"/>
                <w:color w:val="1F2328"/>
                <w:sz w:val="18"/>
              </w:rPr>
              <w:t>Expected: annual acknowledgement record. No observation is supplied.</w:t>
            </w:r>
          </w:p>
        </w:tc>
      </w:tr>
    </w:tbl>
    <w:p>
      <w:pPr>
        <w:spacing w:before="0" w:after="120"/>
      </w:pPr>
    </w:p>
    <w:p>
      <w:pPr>
        <w:pStyle w:val="974"/>
        <w:outlineLvl w:val="1"/>
      </w:pPr>
      <w:bookmarkStart w:id="14" w:name="_TocRAM010"/>
      <w:r>
        <w:t>Contractor handling</w:t>
      </w:r>
      <w:bookmarkEnd w:id="14"/>
    </w:p>
    <w:p>
      <w:r>
        <w:rPr>
          <w:b w:val="0"/>
        </w:rPr>
        <w:t>Read HRP-CON-001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864"/>
        <w:gridCol w:w="1864"/>
        <w:gridCol w:w="3200"/>
        <w:gridCol w:w="1288"/>
        <w:gridCol w:w="1864"/>
      </w:tblGrid>
      <w:tr>
        <w:trPr>
          <w:tblHeader/>
          <w:cantSplit/>
        </w:trPr>
        <w:tc>
          <w:tcPr>
            <w:tcW w:type="dxa" w:w="1864"/>
            <w:shd w:fill="F7F9FC"/>
          </w:tcPr>
          <w:p>
            <w:r/>
            <w:r>
              <w:rPr>
                <w:b/>
                <w:color w:val="1F6FEB"/>
                <w:sz w:val="18"/>
              </w:rPr>
              <w:t>Rule ID</w:t>
            </w:r>
          </w:p>
        </w:tc>
        <w:tc>
          <w:tcPr>
            <w:tcW w:type="dxa" w:w="1864"/>
            <w:shd w:fill="F7F9FC"/>
          </w:tcPr>
          <w:p>
            <w:r/>
            <w:r>
              <w:rPr>
                <w:b/>
                <w:color w:val="1F6FEB"/>
                <w:sz w:val="18"/>
              </w:rPr>
              <w:t>Statement</w:t>
            </w:r>
          </w:p>
        </w:tc>
        <w:tc>
          <w:tcPr>
            <w:tcW w:type="dxa" w:w="3200"/>
            <w:shd w:fill="F7F9FC"/>
          </w:tcPr>
          <w:p>
            <w:r/>
            <w:r>
              <w:rPr>
                <w:b/>
                <w:color w:val="1F6FEB"/>
                <w:sz w:val="18"/>
              </w:rPr>
              <w:t>Scope</w:t>
            </w:r>
          </w:p>
        </w:tc>
        <w:tc>
          <w:tcPr>
            <w:tcW w:type="dxa" w:w="1288"/>
            <w:shd w:fill="F7F9FC"/>
          </w:tcPr>
          <w:p>
            <w:r/>
            <w:r>
              <w:rPr>
                <w:b/>
                <w:color w:val="1F6FEB"/>
                <w:sz w:val="18"/>
              </w:rPr>
              <w:t>Owner</w:t>
            </w:r>
          </w:p>
        </w:tc>
        <w:tc>
          <w:tcPr>
            <w:tcW w:type="dxa" w:w="1864"/>
            <w:shd w:fill="F7F9FC"/>
          </w:tcPr>
          <w:p>
            <w:r/>
            <w:r>
              <w:rPr>
                <w:b/>
                <w:color w:val="1F6FEB"/>
                <w:sz w:val="18"/>
              </w:rPr>
              <w:t>Evidence expectation</w:t>
            </w:r>
          </w:p>
        </w:tc>
      </w:tr>
      <w:tr>
        <w:trPr>
          <w:cantSplit/>
        </w:trPr>
        <w:tc>
          <w:tcPr>
            <w:tcW w:type="dxa" w:w="1864"/>
          </w:tcPr>
          <w:p>
            <w:r/>
            <w:r>
              <w:rPr>
                <w:b w:val="0"/>
                <w:color w:val="1F2328"/>
                <w:sz w:val="18"/>
              </w:rPr>
              <w:t>HRP-CON-001</w:t>
            </w:r>
          </w:p>
        </w:tc>
        <w:tc>
          <w:tcPr>
            <w:tcW w:type="dxa" w:w="1864"/>
          </w:tcPr>
          <w:p>
            <w:r/>
            <w:r>
              <w:rPr>
                <w:b w:val="0"/>
                <w:color w:val="1F2328"/>
                <w:sz w:val="18"/>
              </w:rPr>
              <w:t>Contractors with Arcfield Platform access are in the same joiner and leaver path as employees. A purchase order is not an access grant.</w:t>
            </w:r>
          </w:p>
        </w:tc>
        <w:tc>
          <w:tcPr>
            <w:tcW w:type="dxa" w:w="3200"/>
          </w:tcPr>
          <w:p>
            <w:r/>
            <w:r>
              <w:rPr>
                <w:b w:val="0"/>
                <w:color w:val="1F2328"/>
                <w:sz w:val="18"/>
              </w:rPr>
              <w:t>Contractors and supplier personnel with system access.</w:t>
            </w:r>
          </w:p>
        </w:tc>
        <w:tc>
          <w:tcPr>
            <w:tcW w:type="dxa" w:w="1288"/>
          </w:tcPr>
          <w:p>
            <w:r/>
            <w:r>
              <w:rPr>
                <w:b w:val="0"/>
                <w:color w:val="1F2328"/>
                <w:sz w:val="18"/>
              </w:rPr>
              <w:t>HR Manager</w:t>
            </w:r>
          </w:p>
        </w:tc>
        <w:tc>
          <w:tcPr>
            <w:tcW w:type="dxa" w:w="1864"/>
          </w:tcPr>
          <w:p>
            <w:r/>
            <w:r>
              <w:rPr>
                <w:b w:val="0"/>
                <w:color w:val="1F2328"/>
                <w:sz w:val="18"/>
              </w:rPr>
              <w:t>Expected: contractor identity in UAI plus supplier record. No observation is supplied.</w:t>
            </w:r>
          </w:p>
        </w:tc>
      </w:tr>
    </w:tbl>
    <w:p>
      <w:pPr>
        <w:spacing w:before="0" w:after="120"/>
      </w:pPr>
    </w:p>
    <w:p>
      <w:pPr>
        <w:pStyle w:val="974"/>
        <w:outlineLvl w:val="1"/>
      </w:pPr>
      <w:bookmarkStart w:id="15" w:name="_TocRAM011"/>
      <w:r>
        <w:t>Leaver controls</w:t>
      </w:r>
      <w:bookmarkEnd w:id="15"/>
    </w:p>
    <w:p>
      <w:r>
        <w:rPr>
          <w:b w:val="0"/>
        </w:rPr>
        <w:t>Read HRP-LV-001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720"/>
        <w:gridCol w:w="2152"/>
        <w:gridCol w:w="3056"/>
        <w:gridCol w:w="1288"/>
        <w:gridCol w:w="1864"/>
      </w:tblGrid>
      <w:tr>
        <w:trPr>
          <w:tblHeader/>
          <w:cantSplit/>
        </w:trPr>
        <w:tc>
          <w:tcPr>
            <w:tcW w:type="dxa" w:w="1720"/>
            <w:shd w:fill="F7F9FC"/>
          </w:tcPr>
          <w:p>
            <w:r/>
            <w:r>
              <w:rPr>
                <w:b/>
                <w:color w:val="1F6FEB"/>
                <w:sz w:val="18"/>
              </w:rPr>
              <w:t>Rule ID</w:t>
            </w:r>
          </w:p>
        </w:tc>
        <w:tc>
          <w:tcPr>
            <w:tcW w:type="dxa" w:w="2152"/>
            <w:shd w:fill="F7F9FC"/>
          </w:tcPr>
          <w:p>
            <w:r/>
            <w:r>
              <w:rPr>
                <w:b/>
                <w:color w:val="1F6FEB"/>
                <w:sz w:val="18"/>
              </w:rPr>
              <w:t>Statement</w:t>
            </w:r>
          </w:p>
        </w:tc>
        <w:tc>
          <w:tcPr>
            <w:tcW w:type="dxa" w:w="3056"/>
            <w:shd w:fill="F7F9FC"/>
          </w:tcPr>
          <w:p>
            <w:r/>
            <w:r>
              <w:rPr>
                <w:b/>
                <w:color w:val="1F6FEB"/>
                <w:sz w:val="18"/>
              </w:rPr>
              <w:t>Scope</w:t>
            </w:r>
          </w:p>
        </w:tc>
        <w:tc>
          <w:tcPr>
            <w:tcW w:type="dxa" w:w="1288"/>
            <w:shd w:fill="F7F9FC"/>
          </w:tcPr>
          <w:p>
            <w:r/>
            <w:r>
              <w:rPr>
                <w:b/>
                <w:color w:val="1F6FEB"/>
                <w:sz w:val="18"/>
              </w:rPr>
              <w:t>Owner</w:t>
            </w:r>
          </w:p>
        </w:tc>
        <w:tc>
          <w:tcPr>
            <w:tcW w:type="dxa" w:w="1864"/>
            <w:shd w:fill="F7F9FC"/>
          </w:tcPr>
          <w:p>
            <w:r/>
            <w:r>
              <w:rPr>
                <w:b/>
                <w:color w:val="1F6FEB"/>
                <w:sz w:val="18"/>
              </w:rPr>
              <w:t>Evidence expectation</w:t>
            </w:r>
          </w:p>
        </w:tc>
      </w:tr>
      <w:tr>
        <w:trPr>
          <w:cantSplit/>
        </w:trPr>
        <w:tc>
          <w:tcPr>
            <w:tcW w:type="dxa" w:w="1720"/>
          </w:tcPr>
          <w:p>
            <w:r/>
            <w:r>
              <w:rPr>
                <w:b w:val="0"/>
                <w:color w:val="1F2328"/>
                <w:sz w:val="18"/>
              </w:rPr>
              <w:t>HRP-LV-001</w:t>
            </w:r>
          </w:p>
        </w:tc>
        <w:tc>
          <w:tcPr>
            <w:tcW w:type="dxa" w:w="2152"/>
          </w:tcPr>
          <w:p>
            <w:r/>
            <w:r>
              <w:rPr>
                <w:b w:val="0"/>
                <w:color w:val="1F2328"/>
                <w:sz w:val="18"/>
              </w:rPr>
              <w:t>On the last working day, or earlier when the engagement ends, production and customer-data access is revoked and tokens recovered. A disabled mailbox is not complete revocation.</w:t>
            </w:r>
          </w:p>
        </w:tc>
        <w:tc>
          <w:tcPr>
            <w:tcW w:type="dxa" w:w="3056"/>
          </w:tcPr>
          <w:p>
            <w:r/>
            <w:r>
              <w:rPr>
                <w:b w:val="0"/>
                <w:color w:val="1F2328"/>
                <w:sz w:val="18"/>
              </w:rPr>
              <w:t>Leavers and ended contractor engagements.</w:t>
            </w:r>
          </w:p>
        </w:tc>
        <w:tc>
          <w:tcPr>
            <w:tcW w:type="dxa" w:w="1288"/>
          </w:tcPr>
          <w:p>
            <w:r/>
            <w:r>
              <w:rPr>
                <w:b w:val="0"/>
                <w:color w:val="1F2328"/>
                <w:sz w:val="18"/>
              </w:rPr>
              <w:t>HR Manager</w:t>
            </w:r>
          </w:p>
        </w:tc>
        <w:tc>
          <w:tcPr>
            <w:tcW w:type="dxa" w:w="1864"/>
          </w:tcPr>
          <w:p>
            <w:r/>
            <w:r>
              <w:rPr>
                <w:b w:val="0"/>
                <w:color w:val="1F2328"/>
                <w:sz w:val="18"/>
              </w:rPr>
              <w:t>Expected: UAI revocation timestamp on or before last day. No observation is supplied.</w:t>
            </w:r>
          </w:p>
        </w:tc>
      </w:tr>
    </w:tbl>
    <w:p>
      <w:pPr>
        <w:spacing w:before="0" w:after="120"/>
      </w:pPr>
    </w:p>
    <w:p>
      <w:pPr>
        <w:pStyle w:val="974"/>
        <w:outlineLvl w:val="1"/>
      </w:pPr>
      <w:bookmarkStart w:id="16" w:name="_TocRAM012"/>
      <w:r>
        <w:t>Evidence expectations</w:t>
      </w:r>
      <w:bookmarkEnd w:id="16"/>
    </w:p>
    <w:p>
      <w:r>
        <w:rPr>
          <w:b w:val="0"/>
        </w:rPr>
        <w:t>Use this table to see what a named evidence ID can prove. It is not a log of collected observations.</w:t>
      </w:r>
    </w:p>
    <w:tbl>
      <w:tblPr>
        <w:tblStyle w:val="1033"/>
        <w:tblW w:type="dxa" w:w="10080"/>
        <w:jc w:val="left"/>
        <w:tblLayout w:type="fixed"/>
        <w:tblLook w:firstColumn="1" w:firstRow="1" w:lastColumn="0" w:lastRow="0" w:noHBand="0" w:noVBand="1" w:val="04A0"/>
      </w:tblPr>
      <w:tblGrid>
        <w:gridCol w:w="1720"/>
        <w:gridCol w:w="2008"/>
        <w:gridCol w:w="2953"/>
        <w:gridCol w:w="1288"/>
        <w:gridCol w:w="2111"/>
      </w:tblGrid>
      <w:tr>
        <w:trPr>
          <w:tblHeader/>
          <w:cantSplit/>
        </w:trPr>
        <w:tc>
          <w:tcPr>
            <w:tcW w:type="dxa" w:w="1720"/>
            <w:shd w:fill="F7F9FC"/>
          </w:tcPr>
          <w:p>
            <w:r/>
            <w:r>
              <w:rPr>
                <w:b/>
                <w:color w:val="1F6FEB"/>
                <w:sz w:val="18"/>
              </w:rPr>
              <w:t>Rule ID</w:t>
            </w:r>
          </w:p>
        </w:tc>
        <w:tc>
          <w:tcPr>
            <w:tcW w:type="dxa" w:w="2008"/>
            <w:shd w:fill="F7F9FC"/>
          </w:tcPr>
          <w:p>
            <w:r/>
            <w:r>
              <w:rPr>
                <w:b/>
                <w:color w:val="1F6FEB"/>
                <w:sz w:val="18"/>
              </w:rPr>
              <w:t>Statement</w:t>
            </w:r>
          </w:p>
        </w:tc>
        <w:tc>
          <w:tcPr>
            <w:tcW w:type="dxa" w:w="2953"/>
            <w:shd w:fill="F7F9FC"/>
          </w:tcPr>
          <w:p>
            <w:r/>
            <w:r>
              <w:rPr>
                <w:b/>
                <w:color w:val="1F6FEB"/>
                <w:sz w:val="18"/>
              </w:rPr>
              <w:t>Scope</w:t>
            </w:r>
          </w:p>
        </w:tc>
        <w:tc>
          <w:tcPr>
            <w:tcW w:type="dxa" w:w="1288"/>
            <w:shd w:fill="F7F9FC"/>
          </w:tcPr>
          <w:p>
            <w:r/>
            <w:r>
              <w:rPr>
                <w:b/>
                <w:color w:val="1F6FEB"/>
                <w:sz w:val="18"/>
              </w:rPr>
              <w:t>Owner</w:t>
            </w:r>
          </w:p>
        </w:tc>
        <w:tc>
          <w:tcPr>
            <w:tcW w:type="dxa" w:w="2111"/>
            <w:shd w:fill="F7F9FC"/>
          </w:tcPr>
          <w:p>
            <w:r/>
            <w:r>
              <w:rPr>
                <w:b/>
                <w:color w:val="1F6FEB"/>
                <w:sz w:val="18"/>
              </w:rPr>
              <w:t>Evidence expectation</w:t>
            </w:r>
          </w:p>
        </w:tc>
      </w:tr>
      <w:tr>
        <w:trPr>
          <w:cantSplit/>
        </w:trPr>
        <w:tc>
          <w:tcPr>
            <w:tcW w:type="dxa" w:w="1720"/>
          </w:tcPr>
          <w:p>
            <w:r/>
            <w:r>
              <w:rPr>
                <w:b w:val="0"/>
                <w:color w:val="1F2328"/>
                <w:sz w:val="18"/>
              </w:rPr>
              <w:t>HRP-EV-001</w:t>
            </w:r>
          </w:p>
        </w:tc>
        <w:tc>
          <w:tcPr>
            <w:tcW w:type="dxa" w:w="2008"/>
          </w:tcPr>
          <w:p>
            <w:r/>
            <w:r>
              <w:rPr>
                <w:b w:val="0"/>
                <w:color w:val="1F2328"/>
                <w:sz w:val="18"/>
              </w:rPr>
              <w:t>Each rule above states an evidence expectation. An identifier without a bound dataset is not collected evidence.</w:t>
            </w:r>
          </w:p>
        </w:tc>
        <w:tc>
          <w:tcPr>
            <w:tcW w:type="dxa" w:w="2953"/>
          </w:tcPr>
          <w:p>
            <w:r/>
            <w:r>
              <w:rPr>
                <w:b w:val="0"/>
                <w:color w:val="1F2328"/>
                <w:sz w:val="18"/>
              </w:rPr>
              <w:t>All HRP rules in this file.</w:t>
            </w:r>
          </w:p>
        </w:tc>
        <w:tc>
          <w:tcPr>
            <w:tcW w:type="dxa" w:w="1288"/>
          </w:tcPr>
          <w:p>
            <w:r/>
            <w:r>
              <w:rPr>
                <w:b w:val="0"/>
                <w:color w:val="1F2328"/>
                <w:sz w:val="18"/>
              </w:rPr>
              <w:t>HR Manager</w:t>
            </w:r>
          </w:p>
        </w:tc>
        <w:tc>
          <w:tcPr>
            <w:tcW w:type="dxa" w:w="2111"/>
          </w:tcPr>
          <w:p>
            <w:r/>
            <w:r>
              <w:rPr>
                <w:b w:val="0"/>
                <w:color w:val="1F2328"/>
                <w:sz w:val="18"/>
              </w:rPr>
              <w:t>Expected evidence reference; no evidence supplied. Do not render this row as an observation.</w:t>
            </w:r>
          </w:p>
        </w:tc>
      </w:tr>
    </w:tbl>
    <w:p>
      <w:pPr>
        <w:spacing w:before="0" w:after="120"/>
      </w:pPr>
    </w:p>
    <w:p>
      <w:pPr>
        <w:pStyle w:val="973"/>
        <w:outlineLvl w:val="0"/>
      </w:pPr>
      <w:bookmarkStart w:id="17" w:name="_TocRAM013"/>
      <w:bookmarkStart w:id="3" w:name="ref_evidence_and_records"/>
      <w:r>
        <w:t>Evidence and records</w:t>
      </w:r>
      <w:bookmarkEnd w:id="3"/>
      <w:bookmarkEnd w:id="17"/>
    </w:p>
    <w:p>
      <w:r>
        <w:rPr>
          <w:b w:val="0"/>
        </w:rPr>
        <w:t>These companions hold live records. This policy states what evidence it needs; it does not ship observations. An evidence ID without a dataset is an expectation. The Owner on the cover is accountable for those live records when you adopt the file.</w:t>
      </w:r>
    </w:p>
    <w:p>
      <w:pPr>
        <w:pStyle w:val="1006"/>
        <w:ind w:left="360" w:hanging="259"/>
        <w:numPr>
          <w:ilvl w:val="0"/>
          <w:numId w:val="12"/>
        </w:numPr>
      </w:pPr>
      <w:hyperlink r:id="rId19" w:history="1">
        <w:r>
          <w:rPr>
            <w:color w:val="0563C1"/>
            <w:u w:val="single"/>
          </w:rPr>
          <w:t xml:space="preserve">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2"/>
        </w:numPr>
      </w:pPr>
      <w:hyperlink r:id="rId20" w:history="1">
        <w:r>
          <w:rPr>
            <w:color w:val="0563C1"/>
            <w:u w:val="single"/>
          </w:rPr>
          <w:t xml:space="preserve">Document Register</w:t>
        </w:r>
      </w:hyperlink>
      <w:r>
        <w:rPr>
          <w:b w:val="0"/>
        </w:rPr>
        <w:t xml:space="preserve"> — Controlled documented information: origin, owner, approver, version, review cycle, retention and location.</w:t>
      </w:r>
    </w:p>
    <w:p>
      <w:pPr>
        <w:pStyle w:val="1006"/>
        <w:ind w:left="360" w:hanging="259"/>
        <w:numPr>
          <w:ilvl w:val="0"/>
          <w:numId w:val="12"/>
        </w:numPr>
      </w:pPr>
      <w:hyperlink r:id="rId21" w:history="1">
        <w:r>
          <w:rPr>
            <w:color w:val="0563C1"/>
            <w:u w:val="single"/>
          </w:rPr>
          <w:t xml:space="preserve">Records Retention Schedule</w:t>
        </w:r>
      </w:hyperlink>
      <w:r>
        <w:rPr>
          <w:b w:val="0"/>
        </w:rPr>
        <w:t xml:space="preserve"> — Retention rules for ISMS, security, privacy, audit and operational records, with owner, period, disposal method and evidence.</w:t>
      </w:r>
    </w:p>
    <w:p>
      <w:pPr>
        <w:pStyle w:val="973"/>
        <w:outlineLvl w:val="0"/>
      </w:pPr>
      <w:bookmarkStart w:id="18" w:name="_TocRAM014"/>
      <w:bookmarkStart w:id="4" w:name="ref_external_references"/>
      <w:r>
        <w:t>References</w:t>
      </w:r>
      <w:bookmarkEnd w:id="4"/>
      <w:bookmarkEnd w:id="18"/>
    </w:p>
    <w:p>
      <w:pPr>
        <w:pStyle w:val="974"/>
        <w:outlineLvl w:val="1"/>
      </w:pPr>
      <w:bookmarkStart w:id="19" w:name="_TocRAM015"/>
      <w:r>
        <w:t>Linked documents</w:t>
      </w:r>
      <w:bookmarkEnd w:id="19"/>
    </w:p>
    <w:p>
      <w:r>
        <w:rPr>
          <w:b w:val="0"/>
        </w:rPr>
        <w:t>Availability is by book pack. In-pack files may sit next to this document after unpack. Other-book files are named, not shipped in this Office pack.</w:t>
      </w:r>
    </w:p>
    <w:p>
      <w:pPr>
        <w:pStyle w:val="1006"/>
        <w:ind w:left="360" w:hanging="259"/>
        <w:numPr>
          <w:ilvl w:val="0"/>
          <w:numId w:val="13"/>
        </w:numPr>
      </w:pPr>
      <w:hyperlink r:id="rId16" w:history="1">
        <w:r>
          <w:rPr>
            <w:color w:val="0563C1"/>
            <w:u w:val="single"/>
          </w:rPr>
          <w:t xml:space="preserve">AI Asset Inventory</w:t>
        </w:r>
      </w:hyperlink>
      <w:r>
        <w:rPr>
          <w:b w:val="0"/>
        </w:rPr>
        <w:t xml:space="preserve"> — In-scope assets with owner, classification, hosting, personal-data flag and related risk In this book's pack when present.</w:t>
      </w:r>
    </w:p>
    <w:p>
      <w:pPr>
        <w:pStyle w:val="1006"/>
        <w:ind w:left="360" w:hanging="259"/>
        <w:numPr>
          <w:ilvl w:val="0"/>
          <w:numId w:val="13"/>
        </w:numPr>
      </w:pPr>
      <w:hyperlink r:id="rId17" w:history="1">
        <w:r>
          <w:rPr>
            <w:color w:val="0563C1"/>
            <w:u w:val="single"/>
          </w:rPr>
          <w:t xml:space="preserve">SINV Supplier Inventory</w:t>
        </w:r>
      </w:hyperlink>
      <w:r>
        <w:rPr>
          <w:b w:val="0"/>
        </w:rPr>
        <w:t xml:space="preserve"> — Security-relevant suppliers with tier, due diligence, contract controls, subprocessors and exit planning In this book's pack when present.</w:t>
      </w:r>
    </w:p>
    <w:p>
      <w:pPr>
        <w:pStyle w:val="1006"/>
        <w:ind w:left="360" w:hanging="259"/>
        <w:numPr>
          <w:ilvl w:val="0"/>
          <w:numId w:val="13"/>
        </w:numPr>
      </w:pPr>
      <w:hyperlink r:id="rId18" w:history="1">
        <w:r>
          <w:rPr>
            <w:color w:val="0563C1"/>
            <w:u w:val="single"/>
          </w:rPr>
          <w:t xml:space="preserve">UAI Users and Access Inventory</w:t>
        </w:r>
      </w:hyperlink>
      <w:r>
        <w:rPr>
          <w:b w:val="0"/>
        </w:rPr>
        <w:t xml:space="preserve"> — Users and accounts with access rights, privileged access, MFA status, reviews and revocations Another book's pack, not this Office pack.</w:t>
      </w:r>
    </w:p>
    <w:p>
      <w:pPr>
        <w:pStyle w:val="1006"/>
        <w:ind w:left="360" w:hanging="259"/>
        <w:numPr>
          <w:ilvl w:val="0"/>
          <w:numId w:val="13"/>
        </w:numPr>
      </w:pPr>
      <w:hyperlink r:id="rId19" w:history="1">
        <w:r>
          <w:rPr>
            <w:color w:val="0563C1"/>
            <w:u w:val="single"/>
          </w:rPr>
          <w:t xml:space="preserve">MDR Mandatory Documents and Records Register</w:t>
        </w:r>
      </w:hyperlink>
      <w:r>
        <w:rPr>
          <w:b w:val="0"/>
        </w:rPr>
        <w:t xml:space="preserve"> — The 27 mandatory ISO 27001 documents and records, with owner, required status, approval, review cadence, location and evidence readiness Another book's pack, not this Office pack.</w:t>
      </w:r>
    </w:p>
    <w:p>
      <w:pPr>
        <w:pStyle w:val="1006"/>
        <w:ind w:left="360" w:hanging="259"/>
        <w:numPr>
          <w:ilvl w:val="0"/>
          <w:numId w:val="13"/>
        </w:numPr>
      </w:pPr>
      <w:hyperlink r:id="rId20" w:history="1">
        <w:r>
          <w:rPr>
            <w:color w:val="0563C1"/>
            <w:u w:val="single"/>
          </w:rPr>
          <w:t xml:space="preserve">DR Document Register</w:t>
        </w:r>
      </w:hyperlink>
      <w:r>
        <w:rPr>
          <w:b w:val="0"/>
        </w:rPr>
        <w:t xml:space="preserve"> — Controlled documented information: origin, owner, approver, version, review cycle, retention and location In this book's pack when present.</w:t>
      </w:r>
    </w:p>
    <w:p>
      <w:pPr>
        <w:pStyle w:val="1006"/>
        <w:ind w:left="360" w:hanging="259"/>
        <w:numPr>
          <w:ilvl w:val="0"/>
          <w:numId w:val="13"/>
        </w:numPr>
      </w:pPr>
      <w:hyperlink r:id="rId21" w:history="1">
        <w:r>
          <w:rPr>
            <w:color w:val="0563C1"/>
            <w:u w:val="single"/>
          </w:rPr>
          <w:t xml:space="preserve">RRS Records Retention Schedule</w:t>
        </w:r>
      </w:hyperlink>
      <w:r>
        <w:rPr>
          <w:b w:val="0"/>
        </w:rPr>
        <w:t xml:space="preserve"> — Retention rules for ISMS, security, privacy, audit and operational records, with owner, period, disposal method and evidence Another book's pack, not this Office pack.</w:t>
      </w:r>
    </w:p>
    <w:p>
      <w:pPr>
        <w:pStyle w:val="1006"/>
        <w:ind w:left="360" w:hanging="259"/>
        <w:numPr>
          <w:ilvl w:val="0"/>
          <w:numId w:val="13"/>
        </w:numPr>
      </w:pPr>
      <w:hyperlink r:id="rId22" w:history="1">
        <w:r>
          <w:rPr>
            <w:color w:val="0563C1"/>
            <w:u w:val="single"/>
          </w:rPr>
          <w:t xml:space="preserve">TRC Training Records (Building the ISMS, Security Awareness &amp; Training Programs)</w:t>
        </w:r>
      </w:hyperlink>
      <w:r>
        <w:rPr>
          <w:b w:val="0"/>
        </w:rPr>
        <w:t xml:space="preserve"> — Interface record. Cite this Document Control version; do not copy this file into that record In this book's pack when present.</w:t>
      </w:r>
    </w:p>
    <w:p>
      <w:pPr>
        <w:pStyle w:val="1006"/>
        <w:ind w:left="360" w:hanging="259"/>
        <w:numPr>
          <w:ilvl w:val="0"/>
          <w:numId w:val="13"/>
        </w:numPr>
      </w:pPr>
      <w:hyperlink r:id="rId23" w:history="1">
        <w:r>
          <w:rPr>
            <w:color w:val="0563C1"/>
            <w:u w:val="single"/>
          </w:rPr>
          <w:t xml:space="preserve">SIR Security Incident Register (Secure Engineering, Incident Response &amp; Security Monitoring)</w:t>
        </w:r>
      </w:hyperlink>
      <w:r>
        <w:rPr>
          <w:b w:val="0"/>
        </w:rPr>
        <w:t xml:space="preserve"> — Interface record. Cite this Document Control version; do not copy this file into that record Another book's pack, not this Office pack.</w:t>
      </w:r>
    </w:p>
    <w:p>
      <w:pPr>
        <w:pStyle w:val="974"/>
        <w:outlineLvl w:val="1"/>
      </w:pPr>
      <w:bookmarkStart w:id="20" w:name="_TocRAM016"/>
      <w:r>
        <w:t>External references</w:t>
      </w:r>
      <w:bookmarkEnd w:id="20"/>
    </w:p>
    <w:p>
      <w:r>
        <w:rPr>
          <w:b w:val="0"/>
        </w:rPr>
        <w:t>Cite these ISO clauses and book chapters from workshops and audits.</w:t>
      </w:r>
    </w:p>
    <w:p>
      <w:pPr>
        <w:pStyle w:val="1006"/>
        <w:ind w:left="360" w:hanging="259"/>
        <w:numPr>
          <w:ilvl w:val="0"/>
          <w:numId w:val="14"/>
        </w:numPr>
      </w:pPr>
      <w:hyperlink r:id="rId24"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4"/>
        </w:numPr>
      </w:pPr>
      <w:hyperlink r:id="rId25" w:history="1">
        <w:r>
          <w:rPr>
            <w:color w:val="0563C1"/>
            <w:u w:val="single"/>
          </w:rPr>
          <w:t xml:space="preserve">Building the ISMS, Support &amp; Resources (Clause 7)</w:t>
        </w:r>
      </w:hyperlink>
      <w:r>
        <w:rPr>
          <w:b w:val="0"/>
        </w:rPr>
        <w:t xml:space="preserve"> — Primary operating chapter for this companion artifact.</w:t>
      </w:r>
    </w:p>
    <w:p>
      <w:pPr>
        <w:pStyle w:val="1006"/>
        <w:ind w:left="360" w:hanging="259"/>
        <w:numPr>
          <w:ilvl w:val="0"/>
          <w:numId w:val="14"/>
        </w:numPr>
      </w:pPr>
      <w:hyperlink r:id="rId25" w:history="1">
        <w:r>
          <w:rPr>
            <w:color w:val="0563C1"/>
            <w:u w:val="single"/>
          </w:rPr>
          <w:t xml:space="preserve">Building the ISMS, Support &amp; Resources (Clause 7)</w:t>
        </w:r>
      </w:hyperlink>
      <w:r>
        <w:rPr>
          <w:b w:val="0"/>
        </w:rPr>
        <w:t xml:space="preserve"> — Primary operating chapter for this companion artifact.</w:t>
      </w:r>
    </w:p>
    <w:p>
      <w:pPr>
        <w:pStyle w:val="1006"/>
        <w:ind w:left="360" w:hanging="259"/>
        <w:numPr>
          <w:ilvl w:val="0"/>
          <w:numId w:val="14"/>
        </w:numPr>
      </w:pPr>
      <w:hyperlink r:id="rId25" w:history="1">
        <w:r>
          <w:rPr>
            <w:color w:val="0563C1"/>
            <w:u w:val="single"/>
          </w:rPr>
          <w:t xml:space="preserve">Building the ISMS, Planning, Risk &amp; Objectives (Clause 6)</w:t>
        </w:r>
      </w:hyperlink>
      <w:r>
        <w:rPr>
          <w:b w:val="0"/>
        </w:rPr>
        <w:t xml:space="preserve"> — Documented information, review and version discipline.</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Human Resources Policy (HRP)</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AI_Asset_Inventory.xlsx" TargetMode="External"/><Relationship Id="rId17" Type="http://schemas.openxmlformats.org/officeDocument/2006/relationships/hyperlink" Target="SINV_Supplier_Inventory.xlsx" TargetMode="External"/><Relationship Id="rId18" Type="http://schemas.openxmlformats.org/officeDocument/2006/relationships/hyperlink" Target="UAI_Users_and_Access_Inventory.xlsx" TargetMode="External"/><Relationship Id="rId19" Type="http://schemas.openxmlformats.org/officeDocument/2006/relationships/hyperlink" Target="MDR_Mandatory_Documents_and_Records_Register.xlsx" TargetMode="External"/><Relationship Id="rId20" Type="http://schemas.openxmlformats.org/officeDocument/2006/relationships/hyperlink" Target="DR_Document_Register.xlsx" TargetMode="External"/><Relationship Id="rId21" Type="http://schemas.openxmlformats.org/officeDocument/2006/relationships/hyperlink" Target="RRS_Records_Retention_Schedule_Register.xlsx" TargetMode="External"/><Relationship Id="rId22" Type="http://schemas.openxmlformats.org/officeDocument/2006/relationships/hyperlink" Target="TRC_Training_Records_Register.xlsx" TargetMode="External"/><Relationship Id="rId23" Type="http://schemas.openxmlformats.org/officeDocument/2006/relationships/hyperlink" Target="SIR_Security_Incident_Register.xlsx" TargetMode="External"/><Relationship Id="rId24" Type="http://schemas.openxmlformats.org/officeDocument/2006/relationships/hyperlink" Target="https://www.iso.org/standard/82875.html" TargetMode="External"/><Relationship Id="rId25" Type="http://schemas.openxmlformats.org/officeDocument/2006/relationships/hyperlink" Target="https://www.amazon.com/dp/978990898344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Policy</dc:title>
  <dc:subject>Official ExportableProof Companion Artifact HRP</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Policy</cp:category>
</cp:coreProperties>
</file>