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Gap Statement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Gap Statement records the difference between the organisation’s current ISMS (Information Security Management System) state and the required or target state for a defined scope (ISO (International Organization for Standardization)/IEC 27001 clauses, Annex A themes, or a regulatory overlay). It turns assessment findings into owned gaps with priority, treatment and evidence expectations. It is not a governance-structure charter. This statement remains binding for the certified Arcfield Platform ISMS in the surveillance cycle after certificate ARC-ISMS-2025-001.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Gap</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statement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Scope of assessment</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Gap register</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Prioritisation rules</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Closure and verification</w:t>
            </w:r>
            <w:r>
              <w:tab/>
            </w:r>
            <w:r>
              <w:fldChar w:fldCharType="begin"/>
              <w:instrText xml:space="preserve"> PAGEREF _TocRAM009 \h </w:instrText>
              <w:fldChar w:fldCharType="separate"/>
              <w:t xml:space="preserve"> </w:t>
              <w:fldChar w:fldCharType="end"/>
            </w:r>
          </w:hyperlink>
        </w:p>
        <w:p>
          <w:pPr>
            <w:pStyle w:val="957"/>
            <w:tabs>
              <w:tab w:val="right" w:leader="dot" w:pos="10080"/>
            </w:tabs>
          </w:pPr>
          <w:hyperlink w:anchor="_TocRAM010" w:history="1">
            <w:r>
              <w:rPr>
                <w:rStyle w:val="955"/>
              </w:rPr>
              <w:t xml:space="preserve">Evidence and records</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References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Linked documents</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External references</w:t>
            </w:r>
            <w:r>
              <w:tab/>
            </w:r>
            <w:r>
              <w:fldChar w:fldCharType="begin"/>
              <w:instrText xml:space="preserve"> PAGEREF _TocRAM013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Context of the Organization (Clause 4)</w:t>
            </w:r>
          </w:p>
        </w:tc>
      </w:tr>
    </w:tbl>
    <w:p>
      <w:r>
        <w:br w:type="page"/>
      </w:r>
    </w:p>
    <w:p>
      <w:pPr>
        <w:pStyle w:val="973"/>
        <w:outlineLvl w:val="0"/>
      </w:pPr>
      <w:bookmarkStart w:id="5" w:name="_TocRAM001"/>
      <w:bookmarkStart w:id="2" w:name="ref_gap_template_content"/>
      <w:r>
        <w:t>Gap</w:t>
      </w:r>
      <w:bookmarkEnd w:id="2"/>
      <w:bookmarkEnd w:id="5"/>
    </w:p>
    <w:p>
      <w:pPr>
        <w:pStyle w:val="974"/>
        <w:outlineLvl w:val="1"/>
      </w:pPr>
      <w:bookmarkStart w:id="6" w:name="_TocRAM002"/>
      <w:r>
        <w:t>What this statement is</w:t>
      </w:r>
      <w:bookmarkEnd w:id="6"/>
    </w:p>
    <w:p>
      <w:r>
        <w:rPr>
          <w:b w:val="0"/>
        </w:rPr>
        <w:t>This document is Arcfield's Gap Statement. Document ISMS gaps between current and target state with owned closure actions. It is not the Information Security Policy, the SoA (Statement of Applicability) or a live register. This statement applies to the Arcfield Platform (B2B SaaS (Software as a Service) for regulated fintech and health customers): production, customer data, CI/CD (Continuous Integration / Continuous Delivery), privileged access and critical suppliers. Neighbouring records (ISO, CAR, IAP) cite this Document Control version. Do not copy these paragraphs into them.</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statement</w:t>
            </w:r>
          </w:p>
        </w:tc>
        <w:tc>
          <w:tcPr>
            <w:tcW w:type="dxa" w:w="7056"/>
            <w:shd w:fill="F7F9FC"/>
          </w:tcPr>
          <w:p>
            <w:r/>
            <w:r>
              <w:rPr>
                <w:b/>
                <w:color w:val="1F6FEB"/>
                <w:sz w:val="18"/>
              </w:rPr>
              <w:t>Not in this statement</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ISO, CAR, IAP.</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4"/>
        <w:outlineLvl w:val="1"/>
      </w:pPr>
      <w:bookmarkStart w:id="9" w:name="_TocRAM005"/>
      <w:r>
        <w:t>Systems, integrations and data</w:t>
      </w:r>
      <w:bookmarkEnd w:id="9"/>
    </w:p>
    <w:p>
      <w:r>
        <w:rPr>
          <w:b w:val="0"/>
        </w:rPr>
        <w:t>Related inventories live in the companion documents named below. This file cites them by their approved version. It does not copy their content.</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1006"/>
        <w:ind w:left="360" w:hanging="259"/>
        <w:numPr>
          <w:ilvl w:val="0"/>
          <w:numId w:val="11"/>
        </w:numPr>
      </w:pPr>
      <w:hyperlink r:id="rId18" w:history="1">
        <w:r>
          <w:rPr>
            <w:color w:val="0563C1"/>
            <w:u w:val="single"/>
          </w:rPr>
          <w:t xml:space="preserve">Users and Access Inventory</w:t>
        </w:r>
      </w:hyperlink>
      <w:r>
        <w:rPr>
          <w:b w:val="0"/>
        </w:rPr>
        <w:t xml:space="preserve"> — Users and accounts with access rights, privileged access, MFA status, reviews and revocations.</w:t>
      </w:r>
    </w:p>
    <w:p>
      <w:pPr>
        <w:pStyle w:val="974"/>
        <w:outlineLvl w:val="1"/>
      </w:pPr>
      <w:bookmarkStart w:id="10" w:name="_TocRAM006"/>
      <w:r>
        <w:t>Scope of assessment</w:t>
      </w:r>
      <w:bookmarkEnd w:id="10"/>
    </w:p>
    <w:p>
      <w:r>
        <w:rPr>
          <w:b w:val="0"/>
        </w:rPr>
        <w:t>Scope of assessment is a Arcfield Platform operating rule for Arcfield, not a restatement of this file's purpose. Scope of assessment states the Arcfield rule, the Arcfield Platform system it binds and the evidence a second person can retrieve. Document ISMS gaps between current and target state with owned closure actions.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760"/>
        <w:gridCol w:w="3160"/>
        <w:gridCol w:w="3160"/>
      </w:tblGrid>
      <w:tr>
        <w:trPr>
          <w:tblHeader/>
          <w:cantSplit/>
        </w:trPr>
        <w:tc>
          <w:tcPr>
            <w:tcW w:type="dxa" w:w="3760"/>
            <w:shd w:fill="F7F9FC"/>
          </w:tcPr>
          <w:p>
            <w:r/>
            <w:r>
              <w:rPr>
                <w:b/>
                <w:color w:val="1F6FEB"/>
                <w:sz w:val="18"/>
              </w:rPr>
              <w:t>Arcfield case</w:t>
            </w:r>
          </w:p>
        </w:tc>
        <w:tc>
          <w:tcPr>
            <w:tcW w:type="dxa" w:w="3160"/>
            <w:shd w:fill="F7F9FC"/>
          </w:tcPr>
          <w:p>
            <w:r/>
            <w:r>
              <w:rPr>
                <w:b/>
                <w:color w:val="1F6FEB"/>
                <w:sz w:val="18"/>
              </w:rPr>
              <w:t>Rule applied</w:t>
            </w:r>
          </w:p>
        </w:tc>
        <w:tc>
          <w:tcPr>
            <w:tcW w:type="dxa" w:w="3160"/>
            <w:shd w:fill="F7F9FC"/>
          </w:tcPr>
          <w:p>
            <w:r/>
            <w:r>
              <w:rPr>
                <w:b/>
                <w:color w:val="1F6FEB"/>
                <w:sz w:val="18"/>
              </w:rPr>
              <w:t>Evidence</w:t>
            </w:r>
          </w:p>
        </w:tc>
      </w:tr>
      <w:tr>
        <w:trPr>
          <w:cantSplit/>
        </w:trPr>
        <w:tc>
          <w:tcPr>
            <w:tcW w:type="dxa" w:w="3760"/>
          </w:tcPr>
          <w:p>
            <w:r/>
            <w:r>
              <w:rPr>
                <w:b w:val="0"/>
                <w:color w:val="1F2328"/>
                <w:sz w:val="18"/>
              </w:rPr>
              <w:t>Arcfield Platform production — scope of assessment</w:t>
            </w:r>
          </w:p>
        </w:tc>
        <w:tc>
          <w:tcPr>
            <w:tcW w:type="dxa" w:w="3160"/>
          </w:tcPr>
          <w:p>
            <w:r/>
            <w:r>
              <w:rPr>
                <w:b w:val="0"/>
                <w:color w:val="1F2328"/>
                <w:sz w:val="18"/>
              </w:rPr>
              <w:t>Scope of assessment binds the named production system and a named owner. Document ISMS gaps between current and target state with owned closure actions.</w:t>
            </w:r>
          </w:p>
        </w:tc>
        <w:tc>
          <w:tcPr>
            <w:tcW w:type="dxa" w:w="3160"/>
          </w:tcPr>
          <w:p>
            <w:r/>
            <w:r>
              <w:rPr>
                <w:b w:val="0"/>
                <w:color w:val="1F2328"/>
                <w:sz w:val="18"/>
              </w:rPr>
              <w:t>GS-scope_of_assessment-PROD</w:t>
            </w:r>
          </w:p>
        </w:tc>
      </w:tr>
      <w:tr>
        <w:trPr>
          <w:cantSplit/>
        </w:trPr>
        <w:tc>
          <w:tcPr>
            <w:tcW w:type="dxa" w:w="3760"/>
          </w:tcPr>
          <w:p>
            <w:r/>
            <w:r>
              <w:rPr>
                <w:b w:val="0"/>
                <w:color w:val="1F2328"/>
                <w:sz w:val="18"/>
              </w:rPr>
              <w:t>Customer data / support — scope of assessment</w:t>
            </w:r>
          </w:p>
        </w:tc>
        <w:tc>
          <w:tcPr>
            <w:tcW w:type="dxa" w:w="3160"/>
          </w:tcPr>
          <w:p>
            <w:r/>
            <w:r>
              <w:rPr>
                <w:b w:val="0"/>
                <w:color w:val="1F2328"/>
                <w:sz w:val="18"/>
              </w:rPr>
              <w:t>Support attachments and tenant configuration inherit this scope of assessment rule; they are not out of scope because they are temporary.</w:t>
            </w:r>
          </w:p>
        </w:tc>
        <w:tc>
          <w:tcPr>
            <w:tcW w:type="dxa" w:w="3160"/>
          </w:tcPr>
          <w:p>
            <w:r/>
            <w:r>
              <w:rPr>
                <w:b w:val="0"/>
                <w:color w:val="1F2328"/>
                <w:sz w:val="18"/>
              </w:rPr>
              <w:t>GS-scope_of_assessment-CUST</w:t>
            </w:r>
          </w:p>
        </w:tc>
      </w:tr>
      <w:tr>
        <w:trPr>
          <w:cantSplit/>
        </w:trPr>
        <w:tc>
          <w:tcPr>
            <w:tcW w:type="dxa" w:w="3760"/>
          </w:tcPr>
          <w:p>
            <w:r/>
            <w:r>
              <w:rPr>
                <w:b w:val="0"/>
                <w:color w:val="1F2328"/>
                <w:sz w:val="18"/>
              </w:rPr>
              <w:t>Supplier or CI/CD — scope of assessment</w:t>
            </w:r>
          </w:p>
        </w:tc>
        <w:tc>
          <w:tcPr>
            <w:tcW w:type="dxa" w:w="3160"/>
          </w:tcPr>
          <w:p>
            <w:r/>
            <w:r>
              <w:rPr>
                <w:b w:val="0"/>
                <w:color w:val="1F2328"/>
                <w:sz w:val="18"/>
              </w:rPr>
              <w:t>Name the shared-responsibility split for scope of assessment on hosting, identity and deploy paths. An unnamed interface is an unnamed audit boundary.</w:t>
            </w:r>
          </w:p>
        </w:tc>
        <w:tc>
          <w:tcPr>
            <w:tcW w:type="dxa" w:w="3160"/>
          </w:tcPr>
          <w:p>
            <w:r/>
            <w:r>
              <w:rPr>
                <w:b w:val="0"/>
                <w:color w:val="1F2328"/>
                <w:sz w:val="18"/>
              </w:rPr>
              <w:t>GS-scope_of_assessment-SUP</w:t>
            </w:r>
          </w:p>
        </w:tc>
      </w:tr>
    </w:tbl>
    <w:p>
      <w:pPr>
        <w:spacing w:before="0" w:after="120"/>
      </w:pPr>
    </w:p>
    <w:p>
      <w:pPr>
        <w:pStyle w:val="974"/>
        <w:outlineLvl w:val="1"/>
      </w:pPr>
      <w:bookmarkStart w:id="11" w:name="_TocRAM007"/>
      <w:r>
        <w:t>Gap register</w:t>
      </w:r>
      <w:bookmarkEnd w:id="11"/>
    </w:p>
    <w:p>
      <w:r>
        <w:rPr>
          <w:b w:val="0"/>
        </w:rPr>
        <w:t>Gap register is a Arcfield Platform operating rule for Arcfield, not a restatement of this file's purpose. Gap register states the Arcfield rule, the Arcfield Platform system it binds and the evidence a second person can retrieve. Document ISMS gaps between current and target state with owned closure actions. Apply it to ISMS evidence that an auditor can retrieve for Arcfield Platform.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760"/>
        <w:gridCol w:w="3160"/>
        <w:gridCol w:w="3160"/>
      </w:tblGrid>
      <w:tr>
        <w:trPr>
          <w:tblHeader/>
          <w:cantSplit/>
        </w:trPr>
        <w:tc>
          <w:tcPr>
            <w:tcW w:type="dxa" w:w="3760"/>
            <w:shd w:fill="F7F9FC"/>
          </w:tcPr>
          <w:p>
            <w:r/>
            <w:r>
              <w:rPr>
                <w:b/>
                <w:color w:val="1F6FEB"/>
                <w:sz w:val="18"/>
              </w:rPr>
              <w:t>Arcfield case</w:t>
            </w:r>
          </w:p>
        </w:tc>
        <w:tc>
          <w:tcPr>
            <w:tcW w:type="dxa" w:w="3160"/>
            <w:shd w:fill="F7F9FC"/>
          </w:tcPr>
          <w:p>
            <w:r/>
            <w:r>
              <w:rPr>
                <w:b/>
                <w:color w:val="1F6FEB"/>
                <w:sz w:val="18"/>
              </w:rPr>
              <w:t>Rule applied</w:t>
            </w:r>
          </w:p>
        </w:tc>
        <w:tc>
          <w:tcPr>
            <w:tcW w:type="dxa" w:w="3160"/>
            <w:shd w:fill="F7F9FC"/>
          </w:tcPr>
          <w:p>
            <w:r/>
            <w:r>
              <w:rPr>
                <w:b/>
                <w:color w:val="1F6FEB"/>
                <w:sz w:val="18"/>
              </w:rPr>
              <w:t>Evidence</w:t>
            </w:r>
          </w:p>
        </w:tc>
      </w:tr>
      <w:tr>
        <w:trPr>
          <w:cantSplit/>
        </w:trPr>
        <w:tc>
          <w:tcPr>
            <w:tcW w:type="dxa" w:w="3760"/>
          </w:tcPr>
          <w:p>
            <w:r/>
            <w:r>
              <w:rPr>
                <w:b w:val="0"/>
                <w:color w:val="1F2328"/>
                <w:sz w:val="18"/>
              </w:rPr>
              <w:t>Arcfield Platform production — gap register</w:t>
            </w:r>
          </w:p>
        </w:tc>
        <w:tc>
          <w:tcPr>
            <w:tcW w:type="dxa" w:w="3160"/>
          </w:tcPr>
          <w:p>
            <w:r/>
            <w:r>
              <w:rPr>
                <w:b w:val="0"/>
                <w:color w:val="1F2328"/>
                <w:sz w:val="18"/>
              </w:rPr>
              <w:t>Gap register binds the named production system and a named owner. Document ISMS gaps between current and target state with owned closure actions.</w:t>
            </w:r>
          </w:p>
        </w:tc>
        <w:tc>
          <w:tcPr>
            <w:tcW w:type="dxa" w:w="3160"/>
          </w:tcPr>
          <w:p>
            <w:r/>
            <w:r>
              <w:rPr>
                <w:b w:val="0"/>
                <w:color w:val="1F2328"/>
                <w:sz w:val="18"/>
              </w:rPr>
              <w:t>GS-gap_register-PROD</w:t>
            </w:r>
          </w:p>
        </w:tc>
      </w:tr>
      <w:tr>
        <w:trPr>
          <w:cantSplit/>
        </w:trPr>
        <w:tc>
          <w:tcPr>
            <w:tcW w:type="dxa" w:w="3760"/>
          </w:tcPr>
          <w:p>
            <w:r/>
            <w:r>
              <w:rPr>
                <w:b w:val="0"/>
                <w:color w:val="1F2328"/>
                <w:sz w:val="18"/>
              </w:rPr>
              <w:t>Customer data / support — gap register</w:t>
            </w:r>
          </w:p>
        </w:tc>
        <w:tc>
          <w:tcPr>
            <w:tcW w:type="dxa" w:w="3160"/>
          </w:tcPr>
          <w:p>
            <w:r/>
            <w:r>
              <w:rPr>
                <w:b w:val="0"/>
                <w:color w:val="1F2328"/>
                <w:sz w:val="18"/>
              </w:rPr>
              <w:t>Support attachments and tenant configuration inherit this gap register rule; they are not out of scope because they are temporary.</w:t>
            </w:r>
          </w:p>
        </w:tc>
        <w:tc>
          <w:tcPr>
            <w:tcW w:type="dxa" w:w="3160"/>
          </w:tcPr>
          <w:p>
            <w:r/>
            <w:r>
              <w:rPr>
                <w:b w:val="0"/>
                <w:color w:val="1F2328"/>
                <w:sz w:val="18"/>
              </w:rPr>
              <w:t>GS-gap_register-CUST</w:t>
            </w:r>
          </w:p>
        </w:tc>
      </w:tr>
      <w:tr>
        <w:trPr>
          <w:cantSplit/>
        </w:trPr>
        <w:tc>
          <w:tcPr>
            <w:tcW w:type="dxa" w:w="3760"/>
          </w:tcPr>
          <w:p>
            <w:r/>
            <w:r>
              <w:rPr>
                <w:b w:val="0"/>
                <w:color w:val="1F2328"/>
                <w:sz w:val="18"/>
              </w:rPr>
              <w:t>Supplier or CI/CD — gap register</w:t>
            </w:r>
          </w:p>
        </w:tc>
        <w:tc>
          <w:tcPr>
            <w:tcW w:type="dxa" w:w="3160"/>
          </w:tcPr>
          <w:p>
            <w:r/>
            <w:r>
              <w:rPr>
                <w:b w:val="0"/>
                <w:color w:val="1F2328"/>
                <w:sz w:val="18"/>
              </w:rPr>
              <w:t>Name the shared-responsibility split for gap register on hosting, identity and deploy paths. An unnamed interface is an unnamed audit boundary.</w:t>
            </w:r>
          </w:p>
        </w:tc>
        <w:tc>
          <w:tcPr>
            <w:tcW w:type="dxa" w:w="3160"/>
          </w:tcPr>
          <w:p>
            <w:r/>
            <w:r>
              <w:rPr>
                <w:b w:val="0"/>
                <w:color w:val="1F2328"/>
                <w:sz w:val="18"/>
              </w:rPr>
              <w:t>GS-gap_register-SUP</w:t>
            </w:r>
          </w:p>
        </w:tc>
      </w:tr>
    </w:tbl>
    <w:p>
      <w:pPr>
        <w:spacing w:before="0" w:after="120"/>
      </w:pPr>
    </w:p>
    <w:p>
      <w:pPr>
        <w:pStyle w:val="974"/>
        <w:outlineLvl w:val="1"/>
      </w:pPr>
      <w:bookmarkStart w:id="12" w:name="_TocRAM008"/>
      <w:r>
        <w:t>Prioritisation rules</w:t>
      </w:r>
      <w:bookmarkEnd w:id="12"/>
    </w:p>
    <w:p>
      <w:r>
        <w:rPr>
          <w:b w:val="0"/>
        </w:rPr>
        <w:t>Prioritisation rules is a Arcfield Platform operating rule for Arcfield, not a restatement of this file's purpose. Prioritisation rules states the Arcfield rule, the Arcfield Platform system it binds and the evidence a second person can retrieve. Document ISMS gaps between current and target state with owned closure actions.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760"/>
        <w:gridCol w:w="3160"/>
        <w:gridCol w:w="3160"/>
      </w:tblGrid>
      <w:tr>
        <w:trPr>
          <w:tblHeader/>
          <w:cantSplit/>
        </w:trPr>
        <w:tc>
          <w:tcPr>
            <w:tcW w:type="dxa" w:w="3760"/>
            <w:shd w:fill="F7F9FC"/>
          </w:tcPr>
          <w:p>
            <w:r/>
            <w:r>
              <w:rPr>
                <w:b/>
                <w:color w:val="1F6FEB"/>
                <w:sz w:val="18"/>
              </w:rPr>
              <w:t>Arcfield case</w:t>
            </w:r>
          </w:p>
        </w:tc>
        <w:tc>
          <w:tcPr>
            <w:tcW w:type="dxa" w:w="3160"/>
            <w:shd w:fill="F7F9FC"/>
          </w:tcPr>
          <w:p>
            <w:r/>
            <w:r>
              <w:rPr>
                <w:b/>
                <w:color w:val="1F6FEB"/>
                <w:sz w:val="18"/>
              </w:rPr>
              <w:t>Rule applied</w:t>
            </w:r>
          </w:p>
        </w:tc>
        <w:tc>
          <w:tcPr>
            <w:tcW w:type="dxa" w:w="3160"/>
            <w:shd w:fill="F7F9FC"/>
          </w:tcPr>
          <w:p>
            <w:r/>
            <w:r>
              <w:rPr>
                <w:b/>
                <w:color w:val="1F6FEB"/>
                <w:sz w:val="18"/>
              </w:rPr>
              <w:t>Evidence</w:t>
            </w:r>
          </w:p>
        </w:tc>
      </w:tr>
      <w:tr>
        <w:trPr>
          <w:cantSplit/>
        </w:trPr>
        <w:tc>
          <w:tcPr>
            <w:tcW w:type="dxa" w:w="3760"/>
          </w:tcPr>
          <w:p>
            <w:r/>
            <w:r>
              <w:rPr>
                <w:b w:val="0"/>
                <w:color w:val="1F2328"/>
                <w:sz w:val="18"/>
              </w:rPr>
              <w:t>Arcfield Platform production — prioritisation rules</w:t>
            </w:r>
          </w:p>
        </w:tc>
        <w:tc>
          <w:tcPr>
            <w:tcW w:type="dxa" w:w="3160"/>
          </w:tcPr>
          <w:p>
            <w:r/>
            <w:r>
              <w:rPr>
                <w:b w:val="0"/>
                <w:color w:val="1F2328"/>
                <w:sz w:val="18"/>
              </w:rPr>
              <w:t>Prioritisation rules binds the named production system and a named owner. Document ISMS gaps between current and target state with owned closure actions.</w:t>
            </w:r>
          </w:p>
        </w:tc>
        <w:tc>
          <w:tcPr>
            <w:tcW w:type="dxa" w:w="3160"/>
          </w:tcPr>
          <w:p>
            <w:r/>
            <w:r>
              <w:rPr>
                <w:b w:val="0"/>
                <w:color w:val="1F2328"/>
                <w:sz w:val="18"/>
              </w:rPr>
              <w:t>GS-prioritisation_rules-PROD</w:t>
            </w:r>
          </w:p>
        </w:tc>
      </w:tr>
      <w:tr>
        <w:trPr>
          <w:cantSplit/>
        </w:trPr>
        <w:tc>
          <w:tcPr>
            <w:tcW w:type="dxa" w:w="3760"/>
          </w:tcPr>
          <w:p>
            <w:r/>
            <w:r>
              <w:rPr>
                <w:b w:val="0"/>
                <w:color w:val="1F2328"/>
                <w:sz w:val="18"/>
              </w:rPr>
              <w:t>Customer data / support — prioritisation rules</w:t>
            </w:r>
          </w:p>
        </w:tc>
        <w:tc>
          <w:tcPr>
            <w:tcW w:type="dxa" w:w="3160"/>
          </w:tcPr>
          <w:p>
            <w:r/>
            <w:r>
              <w:rPr>
                <w:b w:val="0"/>
                <w:color w:val="1F2328"/>
                <w:sz w:val="18"/>
              </w:rPr>
              <w:t>Support attachments and tenant configuration inherit this prioritisation rules rule; they are not out of scope because they are temporary.</w:t>
            </w:r>
          </w:p>
        </w:tc>
        <w:tc>
          <w:tcPr>
            <w:tcW w:type="dxa" w:w="3160"/>
          </w:tcPr>
          <w:p>
            <w:r/>
            <w:r>
              <w:rPr>
                <w:b w:val="0"/>
                <w:color w:val="1F2328"/>
                <w:sz w:val="18"/>
              </w:rPr>
              <w:t>GS-prioritisation_rules-CUST</w:t>
            </w:r>
          </w:p>
        </w:tc>
      </w:tr>
      <w:tr>
        <w:trPr>
          <w:cantSplit/>
        </w:trPr>
        <w:tc>
          <w:tcPr>
            <w:tcW w:type="dxa" w:w="3760"/>
          </w:tcPr>
          <w:p>
            <w:r/>
            <w:r>
              <w:rPr>
                <w:b w:val="0"/>
                <w:color w:val="1F2328"/>
                <w:sz w:val="18"/>
              </w:rPr>
              <w:t>Supplier or CI/CD — prioritisation rules</w:t>
            </w:r>
          </w:p>
        </w:tc>
        <w:tc>
          <w:tcPr>
            <w:tcW w:type="dxa" w:w="3160"/>
          </w:tcPr>
          <w:p>
            <w:r/>
            <w:r>
              <w:rPr>
                <w:b w:val="0"/>
                <w:color w:val="1F2328"/>
                <w:sz w:val="18"/>
              </w:rPr>
              <w:t>Name the shared-responsibility split for prioritisation rules on hosting, identity and deploy paths. An unnamed interface is an unnamed audit boundary.</w:t>
            </w:r>
          </w:p>
        </w:tc>
        <w:tc>
          <w:tcPr>
            <w:tcW w:type="dxa" w:w="3160"/>
          </w:tcPr>
          <w:p>
            <w:r/>
            <w:r>
              <w:rPr>
                <w:b w:val="0"/>
                <w:color w:val="1F2328"/>
                <w:sz w:val="18"/>
              </w:rPr>
              <w:t>GS-prioritisation_rules-SUP</w:t>
            </w:r>
          </w:p>
        </w:tc>
      </w:tr>
    </w:tbl>
    <w:p>
      <w:pPr>
        <w:spacing w:before="0" w:after="120"/>
      </w:pPr>
    </w:p>
    <w:p>
      <w:pPr>
        <w:pStyle w:val="974"/>
        <w:outlineLvl w:val="1"/>
      </w:pPr>
      <w:bookmarkStart w:id="13" w:name="_TocRAM009"/>
      <w:r>
        <w:t>Closure and verification</w:t>
      </w:r>
      <w:bookmarkEnd w:id="13"/>
    </w:p>
    <w:p>
      <w:r>
        <w:rPr>
          <w:b w:val="0"/>
        </w:rPr>
        <w:t>Closure and verification is a Arcfield Platform operating rule for Arcfield, not a restatement of this file's purpose. Closure and verification states the Arcfield rule, the Arcfield Platform system it binds and the evidence a second person can retrieve. Document ISMS gaps between current and target state with owned closure actions.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472"/>
        <w:gridCol w:w="3160"/>
        <w:gridCol w:w="3448"/>
      </w:tblGrid>
      <w:tr>
        <w:trPr>
          <w:tblHeader/>
          <w:cantSplit/>
        </w:trPr>
        <w:tc>
          <w:tcPr>
            <w:tcW w:type="dxa" w:w="3472"/>
            <w:shd w:fill="F7F9FC"/>
          </w:tcPr>
          <w:p>
            <w:r/>
            <w:r>
              <w:rPr>
                <w:b/>
                <w:color w:val="1F6FEB"/>
                <w:sz w:val="18"/>
              </w:rPr>
              <w:t>Arcfield case</w:t>
            </w:r>
          </w:p>
        </w:tc>
        <w:tc>
          <w:tcPr>
            <w:tcW w:type="dxa" w:w="3160"/>
            <w:shd w:fill="F7F9FC"/>
          </w:tcPr>
          <w:p>
            <w:r/>
            <w:r>
              <w:rPr>
                <w:b/>
                <w:color w:val="1F6FEB"/>
                <w:sz w:val="18"/>
              </w:rPr>
              <w:t>Rule applied</w:t>
            </w:r>
          </w:p>
        </w:tc>
        <w:tc>
          <w:tcPr>
            <w:tcW w:type="dxa" w:w="3448"/>
            <w:shd w:fill="F7F9FC"/>
          </w:tcPr>
          <w:p>
            <w:r/>
            <w:r>
              <w:rPr>
                <w:b/>
                <w:color w:val="1F6FEB"/>
                <w:sz w:val="18"/>
              </w:rPr>
              <w:t>Evidence</w:t>
            </w:r>
          </w:p>
        </w:tc>
      </w:tr>
      <w:tr>
        <w:trPr>
          <w:cantSplit/>
        </w:trPr>
        <w:tc>
          <w:tcPr>
            <w:tcW w:type="dxa" w:w="3472"/>
          </w:tcPr>
          <w:p>
            <w:r/>
            <w:r>
              <w:rPr>
                <w:b w:val="0"/>
                <w:color w:val="1F2328"/>
                <w:sz w:val="18"/>
              </w:rPr>
              <w:t>Arcfield Platform production — closure and verification</w:t>
            </w:r>
          </w:p>
        </w:tc>
        <w:tc>
          <w:tcPr>
            <w:tcW w:type="dxa" w:w="3160"/>
          </w:tcPr>
          <w:p>
            <w:r/>
            <w:r>
              <w:rPr>
                <w:b w:val="0"/>
                <w:color w:val="1F2328"/>
                <w:sz w:val="18"/>
              </w:rPr>
              <w:t>Closure and verification binds the named production system and a named owner. Document ISMS gaps between current and target state with owned closure actions.</w:t>
            </w:r>
          </w:p>
        </w:tc>
        <w:tc>
          <w:tcPr>
            <w:tcW w:type="dxa" w:w="3448"/>
          </w:tcPr>
          <w:p>
            <w:r/>
            <w:r>
              <w:rPr>
                <w:b w:val="0"/>
                <w:color w:val="1F2328"/>
                <w:sz w:val="18"/>
              </w:rPr>
              <w:t>GS-closure_and_verification-PROD</w:t>
            </w:r>
          </w:p>
        </w:tc>
      </w:tr>
      <w:tr>
        <w:trPr>
          <w:cantSplit/>
        </w:trPr>
        <w:tc>
          <w:tcPr>
            <w:tcW w:type="dxa" w:w="3472"/>
          </w:tcPr>
          <w:p>
            <w:r/>
            <w:r>
              <w:rPr>
                <w:b w:val="0"/>
                <w:color w:val="1F2328"/>
                <w:sz w:val="18"/>
              </w:rPr>
              <w:t>Customer data / support — closure and verification</w:t>
            </w:r>
          </w:p>
        </w:tc>
        <w:tc>
          <w:tcPr>
            <w:tcW w:type="dxa" w:w="3160"/>
          </w:tcPr>
          <w:p>
            <w:r/>
            <w:r>
              <w:rPr>
                <w:b w:val="0"/>
                <w:color w:val="1F2328"/>
                <w:sz w:val="18"/>
              </w:rPr>
              <w:t>Support attachments and tenant configuration inherit this closure and verification rule; they are not out of scope because they are temporary.</w:t>
            </w:r>
          </w:p>
        </w:tc>
        <w:tc>
          <w:tcPr>
            <w:tcW w:type="dxa" w:w="3448"/>
          </w:tcPr>
          <w:p>
            <w:r/>
            <w:r>
              <w:rPr>
                <w:b w:val="0"/>
                <w:color w:val="1F2328"/>
                <w:sz w:val="18"/>
              </w:rPr>
              <w:t>GS-closure_and_verification-CUST</w:t>
            </w:r>
          </w:p>
        </w:tc>
      </w:tr>
      <w:tr>
        <w:trPr>
          <w:cantSplit/>
        </w:trPr>
        <w:tc>
          <w:tcPr>
            <w:tcW w:type="dxa" w:w="3472"/>
          </w:tcPr>
          <w:p>
            <w:r/>
            <w:r>
              <w:rPr>
                <w:b w:val="0"/>
                <w:color w:val="1F2328"/>
                <w:sz w:val="18"/>
              </w:rPr>
              <w:t>Supplier or CI/CD — closure and verification</w:t>
            </w:r>
          </w:p>
        </w:tc>
        <w:tc>
          <w:tcPr>
            <w:tcW w:type="dxa" w:w="3160"/>
          </w:tcPr>
          <w:p>
            <w:r/>
            <w:r>
              <w:rPr>
                <w:b w:val="0"/>
                <w:color w:val="1F2328"/>
                <w:sz w:val="18"/>
              </w:rPr>
              <w:t>Name the shared-responsibility split for closure and verification on hosting, identity and deploy paths. An unnamed interface is an unnamed audit boundary.</w:t>
            </w:r>
          </w:p>
        </w:tc>
        <w:tc>
          <w:tcPr>
            <w:tcW w:type="dxa" w:w="3448"/>
          </w:tcPr>
          <w:p>
            <w:r/>
            <w:r>
              <w:rPr>
                <w:b w:val="0"/>
                <w:color w:val="1F2328"/>
                <w:sz w:val="18"/>
              </w:rPr>
              <w:t>GS-closure_and_verification-SUP</w:t>
            </w:r>
          </w:p>
        </w:tc>
      </w:tr>
    </w:tbl>
    <w:p>
      <w:pPr>
        <w:spacing w:before="0" w:after="120"/>
      </w:pPr>
    </w:p>
    <w:p>
      <w:pPr>
        <w:pStyle w:val="973"/>
        <w:outlineLvl w:val="0"/>
      </w:pPr>
      <w:bookmarkStart w:id="14" w:name="_TocRAM010"/>
      <w:bookmarkStart w:id="3" w:name="ref_evidence_and_records"/>
      <w:r>
        <w:t>Evidence and records</w:t>
      </w:r>
      <w:bookmarkEnd w:id="3"/>
      <w:bookmarkEnd w:id="14"/>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2"/>
        </w:numPr>
      </w:pPr>
      <w:hyperlink r:id="rId19"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0"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21"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5" w:name="_TocRAM011"/>
      <w:bookmarkStart w:id="4" w:name="ref_external_references"/>
      <w:r>
        <w:t>References</w:t>
      </w:r>
      <w:bookmarkEnd w:id="4"/>
      <w:bookmarkEnd w:id="15"/>
    </w:p>
    <w:p>
      <w:pPr>
        <w:pStyle w:val="974"/>
        <w:outlineLvl w:val="1"/>
      </w:pPr>
      <w:bookmarkStart w:id="16" w:name="_TocRAM012"/>
      <w:r>
        <w:t>Linked documents</w:t>
      </w:r>
      <w:bookmarkEnd w:id="16"/>
    </w:p>
    <w:p>
      <w:r>
        <w:rPr>
          <w:b w:val="0"/>
        </w:rPr>
        <w:t>These companion files sit next to this document in the unpacked package. This file cites them by their approved version. It does not copy their content.</w:t>
      </w:r>
    </w:p>
    <w:p>
      <w:pPr>
        <w:pStyle w:val="1006"/>
        <w:ind w:left="360" w:hanging="259"/>
        <w:numPr>
          <w:ilvl w:val="0"/>
          <w:numId w:val="13"/>
        </w:numPr>
      </w:pPr>
      <w:hyperlink r:id="rId16" w:history="1">
        <w:r>
          <w:rPr>
            <w:color w:val="0563C1"/>
            <w:u w:val="single"/>
          </w:rPr>
          <w:t xml:space="preserve">AI Asset Inventory</w:t>
        </w:r>
      </w:hyperlink>
      <w:r>
        <w:rPr>
          <w:b w:val="0"/>
        </w:rPr>
        <w:t xml:space="preserve"> — In-scope assets with owner, classification, hosting, personal-data flag and related risk.</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w:t>
      </w:r>
    </w:p>
    <w:p>
      <w:pPr>
        <w:pStyle w:val="1006"/>
        <w:ind w:left="360" w:hanging="259"/>
        <w:numPr>
          <w:ilvl w:val="0"/>
          <w:numId w:val="13"/>
        </w:numPr>
      </w:pPr>
      <w:hyperlink r:id="rId18" w:history="1">
        <w:r>
          <w:rPr>
            <w:color w:val="0563C1"/>
            <w:u w:val="single"/>
          </w:rPr>
          <w:t xml:space="preserve">UAI Users and Access Inventory</w:t>
        </w:r>
      </w:hyperlink>
      <w:r>
        <w:rPr>
          <w:b w:val="0"/>
        </w:rPr>
        <w:t xml:space="preserve"> — Users and accounts with access rights, privileged access, MFA status, reviews and revocations.</w:t>
      </w:r>
    </w:p>
    <w:p>
      <w:pPr>
        <w:pStyle w:val="1006"/>
        <w:ind w:left="360" w:hanging="259"/>
        <w:numPr>
          <w:ilvl w:val="0"/>
          <w:numId w:val="13"/>
        </w:numPr>
      </w:pPr>
      <w:hyperlink r:id="rId19"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3"/>
        </w:numPr>
      </w:pPr>
      <w:hyperlink r:id="rId20" w:history="1">
        <w:r>
          <w:rPr>
            <w:color w:val="0563C1"/>
            <w:u w:val="single"/>
          </w:rPr>
          <w:t xml:space="preserve">DR Document Register</w:t>
        </w:r>
      </w:hyperlink>
      <w:r>
        <w:rPr>
          <w:b w:val="0"/>
        </w:rPr>
        <w:t xml:space="preserve"> — Controlled documented information: origin, owner, approver, version, review cycle, retention and location.</w:t>
      </w:r>
    </w:p>
    <w:p>
      <w:pPr>
        <w:pStyle w:val="1006"/>
        <w:ind w:left="360" w:hanging="259"/>
        <w:numPr>
          <w:ilvl w:val="0"/>
          <w:numId w:val="13"/>
        </w:numPr>
      </w:pPr>
      <w:hyperlink r:id="rId21"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w:t>
      </w:r>
    </w:p>
    <w:p>
      <w:pPr>
        <w:pStyle w:val="1006"/>
        <w:ind w:left="360" w:hanging="259"/>
        <w:numPr>
          <w:ilvl w:val="0"/>
          <w:numId w:val="13"/>
        </w:numPr>
      </w:pPr>
      <w:hyperlink r:id="rId22" w:history="1">
        <w:r>
          <w:rPr>
            <w:color w:val="0563C1"/>
            <w:u w:val="single"/>
          </w:rPr>
          <w:t xml:space="preserve">CAR Corrective Actions Register (Building the ISMS, Context of the Organization (Clause 4))</w:t>
        </w:r>
      </w:hyperlink>
      <w:r>
        <w:rPr>
          <w:b w:val="0"/>
        </w:rPr>
        <w:t xml:space="preserve"> — Interface record. Cite this Document Control version; do not copy this file into that record.</w:t>
      </w:r>
    </w:p>
    <w:p>
      <w:pPr>
        <w:pStyle w:val="1006"/>
        <w:ind w:left="360" w:hanging="259"/>
        <w:numPr>
          <w:ilvl w:val="0"/>
          <w:numId w:val="13"/>
        </w:numPr>
      </w:pPr>
      <w:hyperlink r:id="rId23" w:history="1">
        <w:r>
          <w:rPr>
            <w:color w:val="0563C1"/>
            <w:u w:val="single"/>
          </w:rPr>
          <w:t xml:space="preserve">IAP Internal Audit Plan (Implementation &amp; Certification, Internal Audit &amp; Management Review)</w:t>
        </w:r>
      </w:hyperlink>
      <w:r>
        <w:rPr>
          <w:b w:val="0"/>
        </w:rPr>
        <w:t xml:space="preserve"> — Interface record. Cite this Document Control version; do not copy this file into that record.</w:t>
      </w:r>
    </w:p>
    <w:p>
      <w:pPr>
        <w:pStyle w:val="1006"/>
        <w:ind w:left="360" w:hanging="259"/>
        <w:numPr>
          <w:ilvl w:val="0"/>
          <w:numId w:val="13"/>
        </w:numPr>
      </w:pPr>
      <w:hyperlink r:id="rId24" w:history="1">
        <w:r>
          <w:rPr>
            <w:color w:val="0563C1"/>
            <w:u w:val="single"/>
          </w:rPr>
          <w:t xml:space="preserve">ISO Information Security Objectives (Building the ISMS, Information Security Policies &amp; Risk Management)</w:t>
        </w:r>
      </w:hyperlink>
      <w:r>
        <w:rPr>
          <w:b w:val="0"/>
        </w:rPr>
        <w:t xml:space="preserve"> — Interface record. Cite this Document Control version; do not copy this file into that record.</w:t>
      </w:r>
    </w:p>
    <w:p>
      <w:pPr>
        <w:pStyle w:val="1006"/>
        <w:ind w:left="360" w:hanging="259"/>
        <w:numPr>
          <w:ilvl w:val="0"/>
          <w:numId w:val="13"/>
        </w:numPr>
      </w:pPr>
      <w:hyperlink r:id="rId25" w:history="1">
        <w:r>
          <w:rPr>
            <w:color w:val="0563C1"/>
            <w:u w:val="single"/>
          </w:rPr>
          <w:t xml:space="preserve">RTP Risk Treatment Plan (Implementation &amp; Certification, Risk Assessment &amp; Risk Treatment Process)</w:t>
        </w:r>
      </w:hyperlink>
      <w:r>
        <w:rPr>
          <w:b w:val="0"/>
        </w:rPr>
        <w:t xml:space="preserve"> — Interface record. Cite this Document Control version; do not copy this file into that record.</w:t>
      </w:r>
    </w:p>
    <w:p>
      <w:pPr>
        <w:pStyle w:val="974"/>
        <w:outlineLvl w:val="1"/>
      </w:pPr>
      <w:bookmarkStart w:id="17" w:name="_TocRAM013"/>
      <w:r>
        <w:t>External references</w:t>
      </w:r>
      <w:bookmarkEnd w:id="17"/>
    </w:p>
    <w:p>
      <w:r>
        <w:rPr>
          <w:b w:val="0"/>
        </w:rPr>
        <w:t>Cite these ISO clauses and book chapters from workshops and audits.</w:t>
      </w:r>
    </w:p>
    <w:p>
      <w:pPr>
        <w:pStyle w:val="1006"/>
        <w:ind w:left="360" w:hanging="259"/>
        <w:numPr>
          <w:ilvl w:val="0"/>
          <w:numId w:val="14"/>
        </w:numPr>
      </w:pPr>
      <w:hyperlink r:id="rId2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4"/>
        </w:numPr>
      </w:pPr>
      <w:hyperlink r:id="rId27" w:history="1">
        <w:r>
          <w:rPr>
            <w:color w:val="0563C1"/>
            <w:u w:val="single"/>
          </w:rPr>
          <w:t xml:space="preserve">Building the ISMS, Context of the Organization (Clause 4)</w:t>
        </w:r>
      </w:hyperlink>
      <w:r>
        <w:rPr>
          <w:b w:val="0"/>
        </w:rPr>
        <w:t xml:space="preserve"> — Primary operating chapter for this companion artifact.</w:t>
      </w:r>
    </w:p>
    <w:p>
      <w:pPr>
        <w:pStyle w:val="1006"/>
        <w:ind w:left="360" w:hanging="259"/>
        <w:numPr>
          <w:ilvl w:val="0"/>
          <w:numId w:val="14"/>
        </w:numPr>
      </w:pPr>
      <w:hyperlink r:id="rId27" w:history="1">
        <w:r>
          <w:rPr>
            <w:color w:val="0563C1"/>
            <w:u w:val="single"/>
          </w:rPr>
          <w:t xml:space="preserve">Building the ISMS, Context of the Organization (Clause 4)</w:t>
        </w:r>
      </w:hyperlink>
      <w:r>
        <w:rPr>
          <w:b w:val="0"/>
        </w:rPr>
        <w:t xml:space="preserve"> — Primary operating chapter for this companion artifact.</w:t>
      </w:r>
    </w:p>
    <w:p>
      <w:pPr>
        <w:pStyle w:val="1006"/>
        <w:ind w:left="360" w:hanging="259"/>
        <w:numPr>
          <w:ilvl w:val="0"/>
          <w:numId w:val="14"/>
        </w:numPr>
      </w:pPr>
      <w:hyperlink r:id="rId27" w:history="1">
        <w:r>
          <w:rPr>
            <w:color w:val="0563C1"/>
            <w:u w:val="single"/>
          </w:rPr>
          <w:t xml:space="preserve">Building the ISMS, Planning, Risk &amp; Objectives (Clause 6)</w:t>
        </w:r>
      </w:hyperlink>
      <w:r>
        <w:rPr>
          <w:b w:val="0"/>
        </w:rPr>
        <w:t xml:space="preserve"> — Documented information, review and version discipline.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Gap Statement (GS)</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UAI_Users_and_Access_Inventory.xlsx" TargetMode="External"/><Relationship Id="rId19" Type="http://schemas.openxmlformats.org/officeDocument/2006/relationships/hyperlink" Target="MDR_Mandatory_Documents_and_Records_Register.xlsx" TargetMode="External"/><Relationship Id="rId20" Type="http://schemas.openxmlformats.org/officeDocument/2006/relationships/hyperlink" Target="DR_Document_Register.xlsx" TargetMode="External"/><Relationship Id="rId21" Type="http://schemas.openxmlformats.org/officeDocument/2006/relationships/hyperlink" Target="RRS_Records_Retention_Schedule_Register.xlsx" TargetMode="External"/><Relationship Id="rId22" Type="http://schemas.openxmlformats.org/officeDocument/2006/relationships/hyperlink" Target="CAR_Corrective_Actions_Register.xlsx" TargetMode="External"/><Relationship Id="rId23" Type="http://schemas.openxmlformats.org/officeDocument/2006/relationships/hyperlink" Target="IAP_Internal_Audit_Plan.docx" TargetMode="External"/><Relationship Id="rId24" Type="http://schemas.openxmlformats.org/officeDocument/2006/relationships/hyperlink" Target="ISO_Information_Security_Objectives_Register.xlsx" TargetMode="External"/><Relationship Id="rId25" Type="http://schemas.openxmlformats.org/officeDocument/2006/relationships/hyperlink" Target="RTP_Risk_Treatment_Plan_Register.xlsx" TargetMode="External"/><Relationship Id="rId26" Type="http://schemas.openxmlformats.org/officeDocument/2006/relationships/hyperlink" Target="https://www.iso.org/standard/82875.html" TargetMode="External"/><Relationship Id="rId27"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Gap Statement</dc:title>
  <dc:subject>Official ExportableProof Companion Artifact GS</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Statement</cp:category>
</cp:coreProperties>
</file>