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Executive Risk Report</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report summarises the organisation’s information-security risk posture for Top Management. It highlights the most material risks, treatment status, residual risk above appetite, overdue actions, emerging threats and decisions required from leadership. It is an executive decision and oversight artefact, not an external-requirements register. This plan is the live Arcfield Platform programme in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Confidential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ISMS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 / Risk Committee</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Confidential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3723"/>
        <w:gridCol w:w="3349"/>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3723"/>
            <w:shd w:fill="F7F9FC"/>
          </w:tcPr>
          <w:p>
            <w:r/>
            <w:r>
              <w:rPr>
                <w:b/>
                <w:color w:val="1F6FEB"/>
                <w:sz w:val="18"/>
              </w:rPr>
              <w:t>Change</w:t>
            </w:r>
          </w:p>
        </w:tc>
        <w:tc>
          <w:tcPr>
            <w:tcW w:type="dxa" w:w="3349"/>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3723"/>
          </w:tcPr>
          <w:p>
            <w:r/>
            <w:r>
              <w:rPr>
                <w:b w:val="0"/>
                <w:color w:val="1F2328"/>
                <w:sz w:val="18"/>
              </w:rPr>
              <w:t>Initial Arcfield Platform publication.</w:t>
            </w:r>
          </w:p>
        </w:tc>
        <w:tc>
          <w:tcPr>
            <w:tcW w:type="dxa" w:w="3349"/>
          </w:tcPr>
          <w:p>
            <w:r/>
            <w:r>
              <w:rPr>
                <w:b w:val="0"/>
                <w:color w:val="1F2328"/>
                <w:sz w:val="18"/>
              </w:rPr>
              <w:t>Top Management / Risk Committee</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3723"/>
          </w:tcPr>
          <w:p>
            <w:r/>
            <w:r>
              <w:rPr>
                <w:b w:val="0"/>
                <w:color w:val="1F2328"/>
                <w:sz w:val="18"/>
              </w:rPr>
              <w:t>Approved Arcfield worked example after the 11 September 2026 internal audit.</w:t>
            </w:r>
          </w:p>
        </w:tc>
        <w:tc>
          <w:tcPr>
            <w:tcW w:type="dxa" w:w="3349"/>
          </w:tcPr>
          <w:p>
            <w:r/>
            <w:r>
              <w:rPr>
                <w:b w:val="0"/>
                <w:color w:val="1F2328"/>
                <w:sz w:val="18"/>
              </w:rPr>
              <w:t>Top Management / Risk Committee</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Report</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plan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Executive summary</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Top risks table</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Treatment and residual risk</w:t>
            </w:r>
            <w:r>
              <w:tab/>
            </w:r>
            <w:r>
              <w:fldChar w:fldCharType="begin"/>
              <w:instrText xml:space="preserve"> PAGEREF _TocRAM007 \h </w:instrText>
              <w:fldChar w:fldCharType="separate"/>
              <w:t xml:space="preserve"> </w:t>
              <w:fldChar w:fldCharType="end"/>
            </w:r>
          </w:hyperlink>
        </w:p>
        <w:p>
          <w:pPr>
            <w:pStyle w:val="958"/>
            <w:tabs>
              <w:tab w:val="right" w:leader="dot" w:pos="10080"/>
            </w:tabs>
          </w:pPr>
          <w:hyperlink w:anchor="_TocRAM008" w:history="1">
            <w:r>
              <w:rPr>
                <w:rStyle w:val="955"/>
              </w:rPr>
              <w:t xml:space="preserve">Trend</w:t>
            </w:r>
            <w:r>
              <w:tab/>
            </w:r>
            <w:r>
              <w:fldChar w:fldCharType="begin"/>
              <w:instrText xml:space="preserve"> PAGEREF _TocRAM008 \h </w:instrText>
              <w:fldChar w:fldCharType="separate"/>
              <w:t xml:space="preserve"> </w:t>
              <w:fldChar w:fldCharType="end"/>
            </w:r>
          </w:hyperlink>
        </w:p>
        <w:p>
          <w:pPr>
            <w:pStyle w:val="958"/>
            <w:tabs>
              <w:tab w:val="right" w:leader="dot" w:pos="10080"/>
            </w:tabs>
          </w:pPr>
          <w:hyperlink w:anchor="_TocRAM009" w:history="1">
            <w:r>
              <w:rPr>
                <w:rStyle w:val="955"/>
              </w:rPr>
              <w:t xml:space="preserve">Decisions required</w:t>
            </w:r>
            <w:r>
              <w:tab/>
            </w:r>
            <w:r>
              <w:fldChar w:fldCharType="begin"/>
              <w:instrText xml:space="preserve"> PAGEREF _TocRAM009 \h </w:instrText>
              <w:fldChar w:fldCharType="separate"/>
              <w:t xml:space="preserve"> </w:t>
              <w:fldChar w:fldCharType="end"/>
            </w:r>
          </w:hyperlink>
        </w:p>
        <w:p>
          <w:pPr>
            <w:pStyle w:val="957"/>
            <w:tabs>
              <w:tab w:val="right" w:leader="dot" w:pos="10080"/>
            </w:tabs>
          </w:pPr>
          <w:hyperlink w:anchor="_TocRAM010" w:history="1">
            <w:r>
              <w:rPr>
                <w:rStyle w:val="955"/>
              </w:rPr>
              <w:t xml:space="preserve">Evidence and records</w:t>
            </w:r>
            <w:r>
              <w:tab/>
            </w:r>
            <w:r>
              <w:fldChar w:fldCharType="begin"/>
              <w:instrText xml:space="preserve"> PAGEREF _TocRAM010 \h </w:instrText>
              <w:fldChar w:fldCharType="separate"/>
              <w:t xml:space="preserve"> </w:t>
              <w:fldChar w:fldCharType="end"/>
            </w:r>
          </w:hyperlink>
        </w:p>
        <w:p>
          <w:pPr>
            <w:pStyle w:val="957"/>
            <w:tabs>
              <w:tab w:val="right" w:leader="dot" w:pos="10080"/>
            </w:tabs>
          </w:pPr>
          <w:hyperlink w:anchor="_TocRAM011" w:history="1">
            <w:r>
              <w:rPr>
                <w:rStyle w:val="955"/>
              </w:rPr>
              <w:t xml:space="preserve">References</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Linked documents</w:t>
            </w:r>
            <w:r>
              <w:tab/>
            </w:r>
            <w:r>
              <w:fldChar w:fldCharType="begin"/>
              <w:instrText xml:space="preserve"> PAGEREF _TocRAM012 \h </w:instrText>
              <w:fldChar w:fldCharType="separate"/>
              <w:t xml:space="preserve"> </w:t>
              <w:fldChar w:fldCharType="end"/>
            </w:r>
          </w:hyperlink>
        </w:p>
        <w:p>
          <w:pPr>
            <w:pStyle w:val="958"/>
            <w:tabs>
              <w:tab w:val="right" w:leader="dot" w:pos="10080"/>
            </w:tabs>
          </w:pPr>
          <w:hyperlink w:anchor="_TocRAM013" w:history="1">
            <w:r>
              <w:rPr>
                <w:rStyle w:val="955"/>
              </w:rPr>
              <w:t xml:space="preserve">External references</w:t>
            </w:r>
            <w:r>
              <w:tab/>
            </w:r>
            <w:r>
              <w:fldChar w:fldCharType="begin"/>
              <w:instrText xml:space="preserve"> PAGEREF _TocRAM013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Building the ISMS, Leadership &amp; Management (Clause 5)</w:t>
            </w:r>
          </w:p>
        </w:tc>
      </w:tr>
    </w:tbl>
    <w:p>
      <w:r>
        <w:br w:type="page"/>
      </w:r>
    </w:p>
    <w:p>
      <w:pPr>
        <w:pStyle w:val="973"/>
        <w:outlineLvl w:val="0"/>
      </w:pPr>
      <w:bookmarkStart w:id="5" w:name="_TocRAM001"/>
      <w:bookmarkStart w:id="2" w:name="ref_report_template_content"/>
      <w:r>
        <w:t>Report</w:t>
      </w:r>
      <w:bookmarkEnd w:id="2"/>
      <w:bookmarkEnd w:id="5"/>
    </w:p>
    <w:p>
      <w:pPr>
        <w:pStyle w:val="974"/>
        <w:outlineLvl w:val="1"/>
      </w:pPr>
      <w:bookmarkStart w:id="6" w:name="_TocRAM002"/>
      <w:r>
        <w:t>What this plan is</w:t>
      </w:r>
      <w:bookmarkEnd w:id="6"/>
    </w:p>
    <w:p>
      <w:r>
        <w:rPr>
          <w:b w:val="0"/>
        </w:rPr>
        <w:t>This document is Arcfield's Executive Risk Report. Provide Top Management with a concise, evidence-linked view of ISMS risk status and required decisions. It is not the governing policy, the live register or the completion record of a later cycle. This plan applies to the Arcfield Platform (B2B SaaS (Software as a Service) for regulated fintech and health customers): production, customer data, CI/CD (Continuous Integration / Continuous Delivery), privileged access and critical suppliers. Neighbouring records (ISO (International Organization for Standardization), RR (Risk Register), CAR) cite this Document Control version. Do not copy these paragraphs into them.</w:t>
      </w:r>
    </w:p>
    <w:p>
      <w:pPr>
        <w:pStyle w:val="974"/>
        <w:outlineLvl w:val="1"/>
      </w:pPr>
      <w:bookmarkStart w:id="7" w:name="_TocRAM003"/>
      <w:r>
        <w:t>Scope</w:t>
      </w:r>
      <w:bookmarkEnd w:id="7"/>
    </w:p>
    <w:p>
      <w:r>
        <w:rPr>
          <w:b w:val="0"/>
        </w:rPr>
        <w:t>Use this table before you copy a rule into another record or exclude a duty from this file.</w:t>
      </w:r>
    </w:p>
    <w:tbl>
      <w:tblPr>
        <w:tblStyle w:val="1033"/>
        <w:tblW w:type="dxa" w:w="10080"/>
        <w:jc w:val="left"/>
        <w:tblLayout w:type="fixed"/>
        <w:tblLook w:firstColumn="1" w:firstRow="1" w:lastColumn="0" w:lastRow="0" w:noHBand="0" w:noVBand="1" w:val="04A0"/>
      </w:tblPr>
      <w:tblGrid>
        <w:gridCol w:w="3024"/>
        <w:gridCol w:w="7056"/>
      </w:tblGrid>
      <w:tr>
        <w:trPr>
          <w:tblHeader/>
          <w:cantSplit/>
        </w:trPr>
        <w:tc>
          <w:tcPr>
            <w:tcW w:type="dxa" w:w="3024"/>
            <w:shd w:fill="F7F9FC"/>
          </w:tcPr>
          <w:p>
            <w:r/>
            <w:r>
              <w:rPr>
                <w:b/>
                <w:color w:val="1F6FEB"/>
                <w:sz w:val="18"/>
              </w:rPr>
              <w:t>In this plan</w:t>
            </w:r>
          </w:p>
        </w:tc>
        <w:tc>
          <w:tcPr>
            <w:tcW w:type="dxa" w:w="7056"/>
            <w:shd w:fill="F7F9FC"/>
          </w:tcPr>
          <w:p>
            <w:r/>
            <w:r>
              <w:rPr>
                <w:b/>
                <w:color w:val="1F6FEB"/>
                <w:sz w:val="18"/>
              </w:rPr>
              <w:t>Not in this plan</w:t>
            </w:r>
          </w:p>
        </w:tc>
      </w:tr>
      <w:tr>
        <w:trPr>
          <w:cantSplit/>
        </w:trPr>
        <w:tc>
          <w:tcPr>
            <w:tcW w:type="dxa" w:w="3024"/>
          </w:tcPr>
          <w:p>
            <w:r/>
            <w:r>
              <w:rPr>
                <w:b w:val="0"/>
                <w:color w:val="1F2328"/>
                <w:sz w:val="18"/>
              </w:rPr>
              <w:t>The rules, roles, worked Arcfield example and the records this file owns.</w:t>
            </w:r>
          </w:p>
        </w:tc>
        <w:tc>
          <w:tcPr>
            <w:tcW w:type="dxa" w:w="7056"/>
          </w:tcPr>
          <w:p>
            <w:r/>
            <w:r>
              <w:rPr>
                <w:b w:val="0"/>
                <w:color w:val="1F2328"/>
                <w:sz w:val="18"/>
              </w:rPr>
              <w:t>The ISMS boundary (ISS), Annex A selection (SoA) or live rows in ISO, RR, CAR.</w:t>
            </w:r>
          </w:p>
        </w:tc>
      </w:tr>
      <w:tr>
        <w:trPr>
          <w:cantSplit/>
        </w:trPr>
        <w:tc>
          <w:tcPr>
            <w:tcW w:type="dxa" w:w="3024"/>
          </w:tcPr>
          <w:p>
            <w:r/>
            <w:r>
              <w:rPr>
                <w:b w:val="0"/>
                <w:color w:val="1F2328"/>
                <w:sz w:val="18"/>
              </w:rPr>
              <w:t>Interfaces that must cite this Document Control version, including CI/CD, identity and suppliers where they affect CIA.</w:t>
            </w:r>
          </w:p>
        </w:tc>
        <w:tc>
          <w:tcPr>
            <w:tcW w:type="dxa" w:w="7056"/>
          </w:tcPr>
          <w:p>
            <w:r/>
            <w:r>
              <w:rPr>
                <w:b w:val="0"/>
                <w:color w:val="1F2328"/>
                <w:sz w:val="18"/>
              </w:rPr>
              <w:t>Live ISS scope rows, SoA applicability decisions, or neighbouring live registers. Those files keep their own approved versions; this file does not duplicate them.</w:t>
            </w:r>
          </w:p>
        </w:tc>
      </w:tr>
    </w:tbl>
    <w:p>
      <w:pPr>
        <w:spacing w:before="0" w:after="120"/>
      </w:pPr>
    </w:p>
    <w:p>
      <w:pPr>
        <w:pStyle w:val="974"/>
        <w:outlineLvl w:val="1"/>
      </w:pPr>
      <w:bookmarkStart w:id="8" w:name="_TocRAM004"/>
      <w:r>
        <w:t>Terms used here</w:t>
      </w:r>
      <w:bookmarkEnd w:id="8"/>
    </w:p>
    <w:p>
      <w:r>
        <w:rPr>
          <w:b w:val="0"/>
        </w:rPr>
        <w:t>These terms are local to this file. Expand every acronym on first use in the body.</w:t>
      </w:r>
    </w:p>
    <w:tbl>
      <w:tblPr>
        <w:tblStyle w:val="1033"/>
        <w:tblW w:type="dxa" w:w="10080"/>
        <w:jc w:val="left"/>
        <w:tblLayout w:type="fixed"/>
        <w:tblLook w:firstColumn="1" w:firstRow="1" w:lastColumn="0" w:lastRow="0" w:noHBand="0" w:noVBand="1" w:val="04A0"/>
      </w:tblPr>
      <w:tblGrid>
        <w:gridCol w:w="2840"/>
        <w:gridCol w:w="7240"/>
      </w:tblGrid>
      <w:tr>
        <w:trPr>
          <w:tblHeader/>
          <w:cantSplit/>
        </w:trPr>
        <w:tc>
          <w:tcPr>
            <w:tcW w:type="dxa" w:w="2840"/>
            <w:shd w:fill="F7F9FC"/>
          </w:tcPr>
          <w:p>
            <w:r/>
            <w:r>
              <w:rPr>
                <w:b/>
                <w:color w:val="1F6FEB"/>
                <w:sz w:val="18"/>
              </w:rPr>
              <w:t>Term</w:t>
            </w:r>
          </w:p>
        </w:tc>
        <w:tc>
          <w:tcPr>
            <w:tcW w:type="dxa" w:w="7240"/>
            <w:shd w:fill="F7F9FC"/>
          </w:tcPr>
          <w:p>
            <w:r/>
            <w:r>
              <w:rPr>
                <w:b/>
                <w:color w:val="1F6FEB"/>
                <w:sz w:val="18"/>
              </w:rPr>
              <w:t>Meaning</w:t>
            </w:r>
          </w:p>
        </w:tc>
      </w:tr>
      <w:tr>
        <w:trPr>
          <w:cantSplit/>
        </w:trPr>
        <w:tc>
          <w:tcPr>
            <w:tcW w:type="dxa" w:w="2840"/>
          </w:tcPr>
          <w:p>
            <w:r/>
            <w:r>
              <w:rPr>
                <w:b w:val="0"/>
                <w:color w:val="1F2328"/>
                <w:sz w:val="18"/>
              </w:rPr>
              <w:t>Owner</w:t>
            </w:r>
          </w:p>
        </w:tc>
        <w:tc>
          <w:tcPr>
            <w:tcW w:type="dxa" w:w="7240"/>
          </w:tcPr>
          <w:p>
            <w:r/>
            <w:r>
              <w:rPr>
                <w:b w:val="0"/>
                <w:color w:val="1F2328"/>
                <w:sz w:val="18"/>
              </w:rPr>
              <w:t>The named role that can be called in an audit for an outcome. A team name is not an owner.</w:t>
            </w:r>
          </w:p>
        </w:tc>
      </w:tr>
      <w:tr>
        <w:trPr>
          <w:cantSplit/>
        </w:trPr>
        <w:tc>
          <w:tcPr>
            <w:tcW w:type="dxa" w:w="2840"/>
          </w:tcPr>
          <w:p>
            <w:r/>
            <w:r>
              <w:rPr>
                <w:b w:val="0"/>
                <w:color w:val="1F2328"/>
                <w:sz w:val="18"/>
              </w:rPr>
              <w:t>Exception</w:t>
            </w:r>
          </w:p>
        </w:tc>
        <w:tc>
          <w:tcPr>
            <w:tcW w:type="dxa" w:w="7240"/>
          </w:tcPr>
          <w:p>
            <w:r/>
            <w:r>
              <w:rPr>
                <w:b w:val="0"/>
                <w:color w:val="1F2328"/>
                <w:sz w:val="18"/>
              </w:rPr>
              <w:t>A time-bound, approved departure with expiry and a compensating control.</w:t>
            </w:r>
          </w:p>
        </w:tc>
      </w:tr>
      <w:tr>
        <w:trPr>
          <w:cantSplit/>
        </w:trPr>
        <w:tc>
          <w:tcPr>
            <w:tcW w:type="dxa" w:w="2840"/>
          </w:tcPr>
          <w:p>
            <w:r/>
            <w:r>
              <w:rPr>
                <w:b w:val="0"/>
                <w:color w:val="1F2328"/>
                <w:sz w:val="18"/>
              </w:rPr>
              <w:t>CIA</w:t>
            </w:r>
          </w:p>
        </w:tc>
        <w:tc>
          <w:tcPr>
            <w:tcW w:type="dxa" w:w="7240"/>
          </w:tcPr>
          <w:p>
            <w:r/>
            <w:r>
              <w:rPr>
                <w:b w:val="0"/>
                <w:color w:val="1F2328"/>
                <w:sz w:val="18"/>
              </w:rPr>
              <w:t>Confidentiality, Integrity and Availability of in-scope information and services.</w:t>
            </w:r>
          </w:p>
        </w:tc>
      </w:tr>
      <w:tr>
        <w:trPr>
          <w:cantSplit/>
        </w:trPr>
        <w:tc>
          <w:tcPr>
            <w:tcW w:type="dxa" w:w="2840"/>
          </w:tcPr>
          <w:p>
            <w:r/>
            <w:r>
              <w:rPr>
                <w:b w:val="0"/>
                <w:color w:val="1F2328"/>
                <w:sz w:val="18"/>
              </w:rPr>
              <w:t>Document Control version</w:t>
            </w:r>
          </w:p>
        </w:tc>
        <w:tc>
          <w:tcPr>
            <w:tcW w:type="dxa" w:w="7240"/>
          </w:tcPr>
          <w:p>
            <w:r/>
            <w:r>
              <w:rPr>
                <w:b w:val="0"/>
                <w:color w:val="1F2328"/>
                <w:sz w:val="18"/>
              </w:rPr>
              <w:t>The approved version cited from neighbouring records. Do not copy this body into those records.</w:t>
            </w:r>
          </w:p>
        </w:tc>
      </w:tr>
    </w:tbl>
    <w:p>
      <w:pPr>
        <w:spacing w:before="0" w:after="120"/>
      </w:pPr>
    </w:p>
    <w:p>
      <w:pPr>
        <w:pStyle w:val="974"/>
        <w:outlineLvl w:val="1"/>
      </w:pPr>
      <w:bookmarkStart w:id="9" w:name="_TocRAM005"/>
      <w:r>
        <w:t>Executive summary</w:t>
      </w:r>
      <w:bookmarkEnd w:id="9"/>
    </w:p>
    <w:p>
      <w:r>
        <w:rPr>
          <w:b w:val="0"/>
        </w:rPr>
        <w:t>Executive summary is a Arcfield Platform operating rule for Arcfield, not a restatement of this file's purpose. Executive summary states the Arcfield rule, the Arcfield Platform system it binds and the evidence a second person can retrieve. Provide Top Management with a concise, evidence-linked view of ISMS risk status and required decisions.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3760"/>
        <w:gridCol w:w="3160"/>
        <w:gridCol w:w="3160"/>
      </w:tblGrid>
      <w:tr>
        <w:trPr>
          <w:tblHeader/>
          <w:cantSplit/>
        </w:trPr>
        <w:tc>
          <w:tcPr>
            <w:tcW w:type="dxa" w:w="3760"/>
            <w:shd w:fill="F7F9FC"/>
          </w:tcPr>
          <w:p>
            <w:r/>
            <w:r>
              <w:rPr>
                <w:b/>
                <w:color w:val="1F6FEB"/>
                <w:sz w:val="18"/>
              </w:rPr>
              <w:t>Arcfield case</w:t>
            </w:r>
          </w:p>
        </w:tc>
        <w:tc>
          <w:tcPr>
            <w:tcW w:type="dxa" w:w="3160"/>
            <w:shd w:fill="F7F9FC"/>
          </w:tcPr>
          <w:p>
            <w:r/>
            <w:r>
              <w:rPr>
                <w:b/>
                <w:color w:val="1F6FEB"/>
                <w:sz w:val="18"/>
              </w:rPr>
              <w:t>Rule applied</w:t>
            </w:r>
          </w:p>
        </w:tc>
        <w:tc>
          <w:tcPr>
            <w:tcW w:type="dxa" w:w="3160"/>
            <w:shd w:fill="F7F9FC"/>
          </w:tcPr>
          <w:p>
            <w:r/>
            <w:r>
              <w:rPr>
                <w:b/>
                <w:color w:val="1F6FEB"/>
                <w:sz w:val="18"/>
              </w:rPr>
              <w:t>Evidence</w:t>
            </w:r>
          </w:p>
        </w:tc>
      </w:tr>
      <w:tr>
        <w:trPr>
          <w:cantSplit/>
        </w:trPr>
        <w:tc>
          <w:tcPr>
            <w:tcW w:type="dxa" w:w="3760"/>
          </w:tcPr>
          <w:p>
            <w:r/>
            <w:r>
              <w:rPr>
                <w:b w:val="0"/>
                <w:color w:val="1F2328"/>
                <w:sz w:val="18"/>
              </w:rPr>
              <w:t>Arcfield Platform production — executive summary</w:t>
            </w:r>
          </w:p>
        </w:tc>
        <w:tc>
          <w:tcPr>
            <w:tcW w:type="dxa" w:w="3160"/>
          </w:tcPr>
          <w:p>
            <w:r/>
            <w:r>
              <w:rPr>
                <w:b w:val="0"/>
                <w:color w:val="1F2328"/>
                <w:sz w:val="18"/>
              </w:rPr>
              <w:t>Executive summary binds the named production system and a named owner. Provide Top Management with a concise, evidence-linked view of ISMS risk status and required decisions.</w:t>
            </w:r>
          </w:p>
        </w:tc>
        <w:tc>
          <w:tcPr>
            <w:tcW w:type="dxa" w:w="3160"/>
          </w:tcPr>
          <w:p>
            <w:r/>
            <w:r>
              <w:rPr>
                <w:b w:val="0"/>
                <w:color w:val="1F2328"/>
                <w:sz w:val="18"/>
              </w:rPr>
              <w:t>ERR-executive_summary-PROD</w:t>
            </w:r>
          </w:p>
        </w:tc>
      </w:tr>
      <w:tr>
        <w:trPr>
          <w:cantSplit/>
        </w:trPr>
        <w:tc>
          <w:tcPr>
            <w:tcW w:type="dxa" w:w="3760"/>
          </w:tcPr>
          <w:p>
            <w:r/>
            <w:r>
              <w:rPr>
                <w:b w:val="0"/>
                <w:color w:val="1F2328"/>
                <w:sz w:val="18"/>
              </w:rPr>
              <w:t>Customer data / support — executive summary</w:t>
            </w:r>
          </w:p>
        </w:tc>
        <w:tc>
          <w:tcPr>
            <w:tcW w:type="dxa" w:w="3160"/>
          </w:tcPr>
          <w:p>
            <w:r/>
            <w:r>
              <w:rPr>
                <w:b w:val="0"/>
                <w:color w:val="1F2328"/>
                <w:sz w:val="18"/>
              </w:rPr>
              <w:t>Support attachments and tenant configuration inherit this executive summary rule; they are not out of scope because they are temporary.</w:t>
            </w:r>
          </w:p>
        </w:tc>
        <w:tc>
          <w:tcPr>
            <w:tcW w:type="dxa" w:w="3160"/>
          </w:tcPr>
          <w:p>
            <w:r/>
            <w:r>
              <w:rPr>
                <w:b w:val="0"/>
                <w:color w:val="1F2328"/>
                <w:sz w:val="18"/>
              </w:rPr>
              <w:t>ERR-executive_summary-CUST</w:t>
            </w:r>
          </w:p>
        </w:tc>
      </w:tr>
      <w:tr>
        <w:trPr>
          <w:cantSplit/>
        </w:trPr>
        <w:tc>
          <w:tcPr>
            <w:tcW w:type="dxa" w:w="3760"/>
          </w:tcPr>
          <w:p>
            <w:r/>
            <w:r>
              <w:rPr>
                <w:b w:val="0"/>
                <w:color w:val="1F2328"/>
                <w:sz w:val="18"/>
              </w:rPr>
              <w:t>Supplier or CI/CD — executive summary</w:t>
            </w:r>
          </w:p>
        </w:tc>
        <w:tc>
          <w:tcPr>
            <w:tcW w:type="dxa" w:w="3160"/>
          </w:tcPr>
          <w:p>
            <w:r/>
            <w:r>
              <w:rPr>
                <w:b w:val="0"/>
                <w:color w:val="1F2328"/>
                <w:sz w:val="18"/>
              </w:rPr>
              <w:t>Name the shared-responsibility split for executive summary on hosting, identity and deploy paths. An unnamed interface is an unnamed audit boundary.</w:t>
            </w:r>
          </w:p>
        </w:tc>
        <w:tc>
          <w:tcPr>
            <w:tcW w:type="dxa" w:w="3160"/>
          </w:tcPr>
          <w:p>
            <w:r/>
            <w:r>
              <w:rPr>
                <w:b w:val="0"/>
                <w:color w:val="1F2328"/>
                <w:sz w:val="18"/>
              </w:rPr>
              <w:t>ERR-executive_summary-SUP</w:t>
            </w:r>
          </w:p>
        </w:tc>
      </w:tr>
    </w:tbl>
    <w:p>
      <w:pPr>
        <w:spacing w:before="0" w:after="120"/>
      </w:pPr>
    </w:p>
    <w:p>
      <w:pPr>
        <w:pStyle w:val="974"/>
        <w:outlineLvl w:val="1"/>
      </w:pPr>
      <w:bookmarkStart w:id="10" w:name="_TocRAM006"/>
      <w:r>
        <w:t>Top risks table</w:t>
      </w:r>
      <w:bookmarkEnd w:id="10"/>
    </w:p>
    <w:p>
      <w:r>
        <w:rPr>
          <w:b w:val="0"/>
        </w:rPr>
        <w:t>Top risks table is a Arcfield Platform operating rule for Arcfield, not a restatement of this file's purpose. Top risks table states the Arcfield rule, the Arcfield Platform system it binds and the evidence a second person can retrieve. Provide Top Management with a concise, evidence-linked view of ISMS risk status and required decisions.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3760"/>
        <w:gridCol w:w="3160"/>
        <w:gridCol w:w="3160"/>
      </w:tblGrid>
      <w:tr>
        <w:trPr>
          <w:tblHeader/>
          <w:cantSplit/>
        </w:trPr>
        <w:tc>
          <w:tcPr>
            <w:tcW w:type="dxa" w:w="3760"/>
            <w:shd w:fill="F7F9FC"/>
          </w:tcPr>
          <w:p>
            <w:r/>
            <w:r>
              <w:rPr>
                <w:b/>
                <w:color w:val="1F6FEB"/>
                <w:sz w:val="18"/>
              </w:rPr>
              <w:t>Arcfield case</w:t>
            </w:r>
          </w:p>
        </w:tc>
        <w:tc>
          <w:tcPr>
            <w:tcW w:type="dxa" w:w="3160"/>
            <w:shd w:fill="F7F9FC"/>
          </w:tcPr>
          <w:p>
            <w:r/>
            <w:r>
              <w:rPr>
                <w:b/>
                <w:color w:val="1F6FEB"/>
                <w:sz w:val="18"/>
              </w:rPr>
              <w:t>Rule applied</w:t>
            </w:r>
          </w:p>
        </w:tc>
        <w:tc>
          <w:tcPr>
            <w:tcW w:type="dxa" w:w="3160"/>
            <w:shd w:fill="F7F9FC"/>
          </w:tcPr>
          <w:p>
            <w:r/>
            <w:r>
              <w:rPr>
                <w:b/>
                <w:color w:val="1F6FEB"/>
                <w:sz w:val="18"/>
              </w:rPr>
              <w:t>Evidence</w:t>
            </w:r>
          </w:p>
        </w:tc>
      </w:tr>
      <w:tr>
        <w:trPr>
          <w:cantSplit/>
        </w:trPr>
        <w:tc>
          <w:tcPr>
            <w:tcW w:type="dxa" w:w="3760"/>
          </w:tcPr>
          <w:p>
            <w:r/>
            <w:r>
              <w:rPr>
                <w:b w:val="0"/>
                <w:color w:val="1F2328"/>
                <w:sz w:val="18"/>
              </w:rPr>
              <w:t>Arcfield Platform production — top risks table</w:t>
            </w:r>
          </w:p>
        </w:tc>
        <w:tc>
          <w:tcPr>
            <w:tcW w:type="dxa" w:w="3160"/>
          </w:tcPr>
          <w:p>
            <w:r/>
            <w:r>
              <w:rPr>
                <w:b w:val="0"/>
                <w:color w:val="1F2328"/>
                <w:sz w:val="18"/>
              </w:rPr>
              <w:t>Top risks table binds the named production system and a named owner. Provide Top Management with a concise, evidence-linked view of ISMS risk status and required decisions.</w:t>
            </w:r>
          </w:p>
        </w:tc>
        <w:tc>
          <w:tcPr>
            <w:tcW w:type="dxa" w:w="3160"/>
          </w:tcPr>
          <w:p>
            <w:r/>
            <w:r>
              <w:rPr>
                <w:b w:val="0"/>
                <w:color w:val="1F2328"/>
                <w:sz w:val="18"/>
              </w:rPr>
              <w:t>ERR-top_risks_table-PROD</w:t>
            </w:r>
          </w:p>
        </w:tc>
      </w:tr>
      <w:tr>
        <w:trPr>
          <w:cantSplit/>
        </w:trPr>
        <w:tc>
          <w:tcPr>
            <w:tcW w:type="dxa" w:w="3760"/>
          </w:tcPr>
          <w:p>
            <w:r/>
            <w:r>
              <w:rPr>
                <w:b w:val="0"/>
                <w:color w:val="1F2328"/>
                <w:sz w:val="18"/>
              </w:rPr>
              <w:t>Customer data / support — top risks table</w:t>
            </w:r>
          </w:p>
        </w:tc>
        <w:tc>
          <w:tcPr>
            <w:tcW w:type="dxa" w:w="3160"/>
          </w:tcPr>
          <w:p>
            <w:r/>
            <w:r>
              <w:rPr>
                <w:b w:val="0"/>
                <w:color w:val="1F2328"/>
                <w:sz w:val="18"/>
              </w:rPr>
              <w:t>Support attachments and tenant configuration inherit this top risks table rule; they are not out of scope because they are temporary.</w:t>
            </w:r>
          </w:p>
        </w:tc>
        <w:tc>
          <w:tcPr>
            <w:tcW w:type="dxa" w:w="3160"/>
          </w:tcPr>
          <w:p>
            <w:r/>
            <w:r>
              <w:rPr>
                <w:b w:val="0"/>
                <w:color w:val="1F2328"/>
                <w:sz w:val="18"/>
              </w:rPr>
              <w:t>ERR-top_risks_table-CUST</w:t>
            </w:r>
          </w:p>
        </w:tc>
      </w:tr>
      <w:tr>
        <w:trPr>
          <w:cantSplit/>
        </w:trPr>
        <w:tc>
          <w:tcPr>
            <w:tcW w:type="dxa" w:w="3760"/>
          </w:tcPr>
          <w:p>
            <w:r/>
            <w:r>
              <w:rPr>
                <w:b w:val="0"/>
                <w:color w:val="1F2328"/>
                <w:sz w:val="18"/>
              </w:rPr>
              <w:t>Supplier or CI/CD — top risks table</w:t>
            </w:r>
          </w:p>
        </w:tc>
        <w:tc>
          <w:tcPr>
            <w:tcW w:type="dxa" w:w="3160"/>
          </w:tcPr>
          <w:p>
            <w:r/>
            <w:r>
              <w:rPr>
                <w:b w:val="0"/>
                <w:color w:val="1F2328"/>
                <w:sz w:val="18"/>
              </w:rPr>
              <w:t>Name the shared-responsibility split for top risks table on hosting, identity and deploy paths. An unnamed interface is an unnamed audit boundary.</w:t>
            </w:r>
          </w:p>
        </w:tc>
        <w:tc>
          <w:tcPr>
            <w:tcW w:type="dxa" w:w="3160"/>
          </w:tcPr>
          <w:p>
            <w:r/>
            <w:r>
              <w:rPr>
                <w:b w:val="0"/>
                <w:color w:val="1F2328"/>
                <w:sz w:val="18"/>
              </w:rPr>
              <w:t>ERR-top_risks_table-SUP</w:t>
            </w:r>
          </w:p>
        </w:tc>
      </w:tr>
    </w:tbl>
    <w:p>
      <w:pPr>
        <w:spacing w:before="0" w:after="120"/>
      </w:pPr>
    </w:p>
    <w:p>
      <w:pPr>
        <w:pStyle w:val="974"/>
        <w:outlineLvl w:val="1"/>
      </w:pPr>
      <w:bookmarkStart w:id="11" w:name="_TocRAM007"/>
      <w:r>
        <w:t>Treatment and residual risk</w:t>
      </w:r>
      <w:bookmarkEnd w:id="11"/>
    </w:p>
    <w:p>
      <w:r>
        <w:rPr>
          <w:b w:val="0"/>
        </w:rPr>
        <w:t>Treatment and residual risk is a Arcfield Platform operating rule for Arcfield, not a restatement of this file's purpose. Treatment and residual risk states the Arcfield rule, the Arcfield Platform system it binds and the evidence a second person can retrieve. Provide Top Management with a concise, evidence-linked view of ISMS risk status and required decisions.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1720"/>
        <w:gridCol w:w="4516"/>
        <w:gridCol w:w="3844"/>
      </w:tblGrid>
      <w:tr>
        <w:trPr>
          <w:tblHeader/>
          <w:cantSplit/>
        </w:trPr>
        <w:tc>
          <w:tcPr>
            <w:tcW w:type="dxa" w:w="1720"/>
            <w:shd w:fill="F7F9FC"/>
          </w:tcPr>
          <w:p>
            <w:r/>
            <w:r>
              <w:rPr>
                <w:b/>
                <w:color w:val="1F6FEB"/>
                <w:sz w:val="18"/>
              </w:rPr>
              <w:t>Arcfield case</w:t>
            </w:r>
          </w:p>
        </w:tc>
        <w:tc>
          <w:tcPr>
            <w:tcW w:type="dxa" w:w="4516"/>
            <w:shd w:fill="F7F9FC"/>
          </w:tcPr>
          <w:p>
            <w:r/>
            <w:r>
              <w:rPr>
                <w:b/>
                <w:color w:val="1F6FEB"/>
                <w:sz w:val="18"/>
              </w:rPr>
              <w:t>Rule applied</w:t>
            </w:r>
          </w:p>
        </w:tc>
        <w:tc>
          <w:tcPr>
            <w:tcW w:type="dxa" w:w="3844"/>
            <w:shd w:fill="F7F9FC"/>
          </w:tcPr>
          <w:p>
            <w:r/>
            <w:r>
              <w:rPr>
                <w:b/>
                <w:color w:val="1F6FEB"/>
                <w:sz w:val="18"/>
              </w:rPr>
              <w:t>Evidence</w:t>
            </w:r>
          </w:p>
        </w:tc>
      </w:tr>
      <w:tr>
        <w:trPr>
          <w:cantSplit/>
        </w:trPr>
        <w:tc>
          <w:tcPr>
            <w:tcW w:type="dxa" w:w="1720"/>
          </w:tcPr>
          <w:p>
            <w:r/>
            <w:r>
              <w:rPr>
                <w:b w:val="0"/>
                <w:color w:val="1F2328"/>
                <w:sz w:val="18"/>
              </w:rPr>
              <w:t>Arcfield Platform production — treatment and residual risk</w:t>
            </w:r>
          </w:p>
        </w:tc>
        <w:tc>
          <w:tcPr>
            <w:tcW w:type="dxa" w:w="4516"/>
          </w:tcPr>
          <w:p>
            <w:r/>
            <w:r>
              <w:rPr>
                <w:b w:val="0"/>
                <w:color w:val="1F2328"/>
                <w:sz w:val="18"/>
              </w:rPr>
              <w:t>Treatment and residual risk binds the named production system and a named owner. Provide Top Management with a concise, evidence-linked view of ISMS risk status and required decisions.</w:t>
            </w:r>
          </w:p>
        </w:tc>
        <w:tc>
          <w:tcPr>
            <w:tcW w:type="dxa" w:w="3844"/>
          </w:tcPr>
          <w:p>
            <w:r/>
            <w:r>
              <w:rPr>
                <w:b w:val="0"/>
                <w:color w:val="1F2328"/>
                <w:sz w:val="18"/>
              </w:rPr>
              <w:t>ERR-treatment_and_residual_risk-PROD</w:t>
            </w:r>
          </w:p>
        </w:tc>
      </w:tr>
      <w:tr>
        <w:trPr>
          <w:cantSplit/>
        </w:trPr>
        <w:tc>
          <w:tcPr>
            <w:tcW w:type="dxa" w:w="1720"/>
          </w:tcPr>
          <w:p>
            <w:r/>
            <w:r>
              <w:rPr>
                <w:b w:val="0"/>
                <w:color w:val="1F2328"/>
                <w:sz w:val="18"/>
              </w:rPr>
              <w:t>Customer data / support — treatment and residual risk</w:t>
            </w:r>
          </w:p>
        </w:tc>
        <w:tc>
          <w:tcPr>
            <w:tcW w:type="dxa" w:w="4516"/>
          </w:tcPr>
          <w:p>
            <w:r/>
            <w:r>
              <w:rPr>
                <w:b w:val="0"/>
                <w:color w:val="1F2328"/>
                <w:sz w:val="18"/>
              </w:rPr>
              <w:t>Support attachments and tenant configuration inherit this treatment and residual risk rule; they are not out of scope because they are temporary.</w:t>
            </w:r>
          </w:p>
        </w:tc>
        <w:tc>
          <w:tcPr>
            <w:tcW w:type="dxa" w:w="3844"/>
          </w:tcPr>
          <w:p>
            <w:r/>
            <w:r>
              <w:rPr>
                <w:b w:val="0"/>
                <w:color w:val="1F2328"/>
                <w:sz w:val="18"/>
              </w:rPr>
              <w:t>ERR-treatment_and_residual_risk-CUST</w:t>
            </w:r>
          </w:p>
        </w:tc>
      </w:tr>
      <w:tr>
        <w:trPr>
          <w:cantSplit/>
        </w:trPr>
        <w:tc>
          <w:tcPr>
            <w:tcW w:type="dxa" w:w="1720"/>
          </w:tcPr>
          <w:p>
            <w:r/>
            <w:r>
              <w:rPr>
                <w:b w:val="0"/>
                <w:color w:val="1F2328"/>
                <w:sz w:val="18"/>
              </w:rPr>
              <w:t>Supplier or CI/CD — treatment and residual risk</w:t>
            </w:r>
          </w:p>
        </w:tc>
        <w:tc>
          <w:tcPr>
            <w:tcW w:type="dxa" w:w="4516"/>
          </w:tcPr>
          <w:p>
            <w:r/>
            <w:r>
              <w:rPr>
                <w:b w:val="0"/>
                <w:color w:val="1F2328"/>
                <w:sz w:val="18"/>
              </w:rPr>
              <w:t>Name the shared-responsibility split for treatment and residual risk on hosting, identity and deploy paths. An unnamed interface is an unnamed audit boundary.</w:t>
            </w:r>
          </w:p>
        </w:tc>
        <w:tc>
          <w:tcPr>
            <w:tcW w:type="dxa" w:w="3844"/>
          </w:tcPr>
          <w:p>
            <w:r/>
            <w:r>
              <w:rPr>
                <w:b w:val="0"/>
                <w:color w:val="1F2328"/>
                <w:sz w:val="18"/>
              </w:rPr>
              <w:t>ERR-treatment_and_residual_risk-SUP</w:t>
            </w:r>
          </w:p>
        </w:tc>
      </w:tr>
    </w:tbl>
    <w:p>
      <w:pPr>
        <w:spacing w:before="0" w:after="120"/>
      </w:pPr>
    </w:p>
    <w:p>
      <w:pPr>
        <w:pStyle w:val="974"/>
        <w:outlineLvl w:val="1"/>
      </w:pPr>
      <w:bookmarkStart w:id="12" w:name="_TocRAM008"/>
      <w:r>
        <w:t>Trend</w:t>
      </w:r>
      <w:bookmarkEnd w:id="12"/>
    </w:p>
    <w:p>
      <w:r>
        <w:rPr>
          <w:b w:val="0"/>
        </w:rPr>
        <w:t>Trend is a Arcfield Platform operating rule for Arcfield, not a restatement of this file's purpose. Trend states the Arcfield rule, the Arcfield Platform system it binds and the evidence a second person can retrieve. Provide Top Management with a concise, evidence-linked view of ISMS risk status and required decisions.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3844"/>
        <w:gridCol w:w="3940"/>
        <w:gridCol w:w="2296"/>
      </w:tblGrid>
      <w:tr>
        <w:trPr>
          <w:tblHeader/>
          <w:cantSplit/>
        </w:trPr>
        <w:tc>
          <w:tcPr>
            <w:tcW w:type="dxa" w:w="3844"/>
            <w:shd w:fill="F7F9FC"/>
          </w:tcPr>
          <w:p>
            <w:r/>
            <w:r>
              <w:rPr>
                <w:b/>
                <w:color w:val="1F6FEB"/>
                <w:sz w:val="18"/>
              </w:rPr>
              <w:t>Arcfield case</w:t>
            </w:r>
          </w:p>
        </w:tc>
        <w:tc>
          <w:tcPr>
            <w:tcW w:type="dxa" w:w="3940"/>
            <w:shd w:fill="F7F9FC"/>
          </w:tcPr>
          <w:p>
            <w:r/>
            <w:r>
              <w:rPr>
                <w:b/>
                <w:color w:val="1F6FEB"/>
                <w:sz w:val="18"/>
              </w:rPr>
              <w:t>Rule applied</w:t>
            </w:r>
          </w:p>
        </w:tc>
        <w:tc>
          <w:tcPr>
            <w:tcW w:type="dxa" w:w="2296"/>
            <w:shd w:fill="F7F9FC"/>
          </w:tcPr>
          <w:p>
            <w:r/>
            <w:r>
              <w:rPr>
                <w:b/>
                <w:color w:val="1F6FEB"/>
                <w:sz w:val="18"/>
              </w:rPr>
              <w:t>Evidence</w:t>
            </w:r>
          </w:p>
        </w:tc>
      </w:tr>
      <w:tr>
        <w:trPr>
          <w:cantSplit/>
        </w:trPr>
        <w:tc>
          <w:tcPr>
            <w:tcW w:type="dxa" w:w="3844"/>
          </w:tcPr>
          <w:p>
            <w:r/>
            <w:r>
              <w:rPr>
                <w:b w:val="0"/>
                <w:color w:val="1F2328"/>
                <w:sz w:val="18"/>
              </w:rPr>
              <w:t>Arcfield Platform production — trend</w:t>
            </w:r>
          </w:p>
        </w:tc>
        <w:tc>
          <w:tcPr>
            <w:tcW w:type="dxa" w:w="3940"/>
          </w:tcPr>
          <w:p>
            <w:r/>
            <w:r>
              <w:rPr>
                <w:b w:val="0"/>
                <w:color w:val="1F2328"/>
                <w:sz w:val="18"/>
              </w:rPr>
              <w:t>Trend binds the named production system and a named owner. Provide Top Management with a concise, evidence-linked view of ISMS risk status and required decisions.</w:t>
            </w:r>
          </w:p>
        </w:tc>
        <w:tc>
          <w:tcPr>
            <w:tcW w:type="dxa" w:w="2296"/>
          </w:tcPr>
          <w:p>
            <w:r/>
            <w:r>
              <w:rPr>
                <w:b w:val="0"/>
                <w:color w:val="1F2328"/>
                <w:sz w:val="18"/>
              </w:rPr>
              <w:t>ERR-trend-PROD</w:t>
            </w:r>
          </w:p>
        </w:tc>
      </w:tr>
      <w:tr>
        <w:trPr>
          <w:cantSplit/>
        </w:trPr>
        <w:tc>
          <w:tcPr>
            <w:tcW w:type="dxa" w:w="3844"/>
          </w:tcPr>
          <w:p>
            <w:r/>
            <w:r>
              <w:rPr>
                <w:b w:val="0"/>
                <w:color w:val="1F2328"/>
                <w:sz w:val="18"/>
              </w:rPr>
              <w:t>Customer data / support — trend</w:t>
            </w:r>
          </w:p>
        </w:tc>
        <w:tc>
          <w:tcPr>
            <w:tcW w:type="dxa" w:w="3940"/>
          </w:tcPr>
          <w:p>
            <w:r/>
            <w:r>
              <w:rPr>
                <w:b w:val="0"/>
                <w:color w:val="1F2328"/>
                <w:sz w:val="18"/>
              </w:rPr>
              <w:t>Support attachments and tenant configuration inherit this trend rule; they are not out of scope because they are temporary.</w:t>
            </w:r>
          </w:p>
        </w:tc>
        <w:tc>
          <w:tcPr>
            <w:tcW w:type="dxa" w:w="2296"/>
          </w:tcPr>
          <w:p>
            <w:r/>
            <w:r>
              <w:rPr>
                <w:b w:val="0"/>
                <w:color w:val="1F2328"/>
                <w:sz w:val="18"/>
              </w:rPr>
              <w:t>ERR-trend-CUST</w:t>
            </w:r>
          </w:p>
        </w:tc>
      </w:tr>
      <w:tr>
        <w:trPr>
          <w:cantSplit/>
        </w:trPr>
        <w:tc>
          <w:tcPr>
            <w:tcW w:type="dxa" w:w="3844"/>
          </w:tcPr>
          <w:p>
            <w:r/>
            <w:r>
              <w:rPr>
                <w:b w:val="0"/>
                <w:color w:val="1F2328"/>
                <w:sz w:val="18"/>
              </w:rPr>
              <w:t>Supplier or CI/CD — trend</w:t>
            </w:r>
          </w:p>
        </w:tc>
        <w:tc>
          <w:tcPr>
            <w:tcW w:type="dxa" w:w="3940"/>
          </w:tcPr>
          <w:p>
            <w:r/>
            <w:r>
              <w:rPr>
                <w:b w:val="0"/>
                <w:color w:val="1F2328"/>
                <w:sz w:val="18"/>
              </w:rPr>
              <w:t>Name the shared-responsibility split for trend on hosting, identity and deploy paths. An unnamed interface is an unnamed audit boundary.</w:t>
            </w:r>
          </w:p>
        </w:tc>
        <w:tc>
          <w:tcPr>
            <w:tcW w:type="dxa" w:w="2296"/>
          </w:tcPr>
          <w:p>
            <w:r/>
            <w:r>
              <w:rPr>
                <w:b w:val="0"/>
                <w:color w:val="1F2328"/>
                <w:sz w:val="18"/>
              </w:rPr>
              <w:t>ERR-trend-SUP</w:t>
            </w:r>
          </w:p>
        </w:tc>
      </w:tr>
    </w:tbl>
    <w:p>
      <w:pPr>
        <w:spacing w:before="0" w:after="120"/>
      </w:pPr>
    </w:p>
    <w:p>
      <w:pPr>
        <w:pStyle w:val="974"/>
        <w:outlineLvl w:val="1"/>
      </w:pPr>
      <w:bookmarkStart w:id="13" w:name="_TocRAM009"/>
      <w:r>
        <w:t>Decisions required</w:t>
      </w:r>
      <w:bookmarkEnd w:id="13"/>
    </w:p>
    <w:p>
      <w:r>
        <w:rPr>
          <w:b w:val="0"/>
        </w:rPr>
        <w:t>Decisions required is a Arcfield Platform operating rule for Arcfield, not a restatement of this file's purpose. Decisions required states the Arcfield rule, the Arcfield Platform system it binds and the evidence a second person can retrieve. Provide Top Management with a concise, evidence-linked view of ISMS risk status and required decisions. Apply it to Arcfield Platform production, customer data, CI/CD, privileged access and critical suppliers. Name the owner, the live record and the review date. Cite this approved version from neighbouring records; do not copy this chapter into them.</w:t>
      </w:r>
    </w:p>
    <w:tbl>
      <w:tblPr>
        <w:tblStyle w:val="1033"/>
        <w:tblW w:type="dxa" w:w="10080"/>
        <w:jc w:val="left"/>
        <w:tblLayout w:type="fixed"/>
        <w:tblLook w:firstColumn="1" w:firstRow="1" w:lastColumn="0" w:lastRow="0" w:noHBand="0" w:noVBand="1" w:val="04A0"/>
      </w:tblPr>
      <w:tblGrid>
        <w:gridCol w:w="3760"/>
        <w:gridCol w:w="3160"/>
        <w:gridCol w:w="3160"/>
      </w:tblGrid>
      <w:tr>
        <w:trPr>
          <w:tblHeader/>
          <w:cantSplit/>
        </w:trPr>
        <w:tc>
          <w:tcPr>
            <w:tcW w:type="dxa" w:w="3760"/>
            <w:shd w:fill="F7F9FC"/>
          </w:tcPr>
          <w:p>
            <w:r/>
            <w:r>
              <w:rPr>
                <w:b/>
                <w:color w:val="1F6FEB"/>
                <w:sz w:val="18"/>
              </w:rPr>
              <w:t>Arcfield case</w:t>
            </w:r>
          </w:p>
        </w:tc>
        <w:tc>
          <w:tcPr>
            <w:tcW w:type="dxa" w:w="3160"/>
            <w:shd w:fill="F7F9FC"/>
          </w:tcPr>
          <w:p>
            <w:r/>
            <w:r>
              <w:rPr>
                <w:b/>
                <w:color w:val="1F6FEB"/>
                <w:sz w:val="18"/>
              </w:rPr>
              <w:t>Rule applied</w:t>
            </w:r>
          </w:p>
        </w:tc>
        <w:tc>
          <w:tcPr>
            <w:tcW w:type="dxa" w:w="3160"/>
            <w:shd w:fill="F7F9FC"/>
          </w:tcPr>
          <w:p>
            <w:r/>
            <w:r>
              <w:rPr>
                <w:b/>
                <w:color w:val="1F6FEB"/>
                <w:sz w:val="18"/>
              </w:rPr>
              <w:t>Evidence</w:t>
            </w:r>
          </w:p>
        </w:tc>
      </w:tr>
      <w:tr>
        <w:trPr>
          <w:cantSplit/>
        </w:trPr>
        <w:tc>
          <w:tcPr>
            <w:tcW w:type="dxa" w:w="3760"/>
          </w:tcPr>
          <w:p>
            <w:r/>
            <w:r>
              <w:rPr>
                <w:b w:val="0"/>
                <w:color w:val="1F2328"/>
                <w:sz w:val="18"/>
              </w:rPr>
              <w:t>Arcfield Platform production — decisions required</w:t>
            </w:r>
          </w:p>
        </w:tc>
        <w:tc>
          <w:tcPr>
            <w:tcW w:type="dxa" w:w="3160"/>
          </w:tcPr>
          <w:p>
            <w:r/>
            <w:r>
              <w:rPr>
                <w:b w:val="0"/>
                <w:color w:val="1F2328"/>
                <w:sz w:val="18"/>
              </w:rPr>
              <w:t>Decisions required binds the named production system and a named owner. Provide Top Management with a concise, evidence-linked view of ISMS risk status and required decisions.</w:t>
            </w:r>
          </w:p>
        </w:tc>
        <w:tc>
          <w:tcPr>
            <w:tcW w:type="dxa" w:w="3160"/>
          </w:tcPr>
          <w:p>
            <w:r/>
            <w:r>
              <w:rPr>
                <w:b w:val="0"/>
                <w:color w:val="1F2328"/>
                <w:sz w:val="18"/>
              </w:rPr>
              <w:t>ERR-decisions_required-PROD</w:t>
            </w:r>
          </w:p>
        </w:tc>
      </w:tr>
      <w:tr>
        <w:trPr>
          <w:cantSplit/>
        </w:trPr>
        <w:tc>
          <w:tcPr>
            <w:tcW w:type="dxa" w:w="3760"/>
          </w:tcPr>
          <w:p>
            <w:r/>
            <w:r>
              <w:rPr>
                <w:b w:val="0"/>
                <w:color w:val="1F2328"/>
                <w:sz w:val="18"/>
              </w:rPr>
              <w:t>Customer data / support — decisions required</w:t>
            </w:r>
          </w:p>
        </w:tc>
        <w:tc>
          <w:tcPr>
            <w:tcW w:type="dxa" w:w="3160"/>
          </w:tcPr>
          <w:p>
            <w:r/>
            <w:r>
              <w:rPr>
                <w:b w:val="0"/>
                <w:color w:val="1F2328"/>
                <w:sz w:val="18"/>
              </w:rPr>
              <w:t>Support attachments and tenant configuration inherit this decisions required rule; they are not out of scope because they are temporary.</w:t>
            </w:r>
          </w:p>
        </w:tc>
        <w:tc>
          <w:tcPr>
            <w:tcW w:type="dxa" w:w="3160"/>
          </w:tcPr>
          <w:p>
            <w:r/>
            <w:r>
              <w:rPr>
                <w:b w:val="0"/>
                <w:color w:val="1F2328"/>
                <w:sz w:val="18"/>
              </w:rPr>
              <w:t>ERR-decisions_required-CUST</w:t>
            </w:r>
          </w:p>
        </w:tc>
      </w:tr>
      <w:tr>
        <w:trPr>
          <w:cantSplit/>
        </w:trPr>
        <w:tc>
          <w:tcPr>
            <w:tcW w:type="dxa" w:w="3760"/>
          </w:tcPr>
          <w:p>
            <w:r/>
            <w:r>
              <w:rPr>
                <w:b w:val="0"/>
                <w:color w:val="1F2328"/>
                <w:sz w:val="18"/>
              </w:rPr>
              <w:t>Supplier or CI/CD — decisions required</w:t>
            </w:r>
          </w:p>
        </w:tc>
        <w:tc>
          <w:tcPr>
            <w:tcW w:type="dxa" w:w="3160"/>
          </w:tcPr>
          <w:p>
            <w:r/>
            <w:r>
              <w:rPr>
                <w:b w:val="0"/>
                <w:color w:val="1F2328"/>
                <w:sz w:val="18"/>
              </w:rPr>
              <w:t>Name the shared-responsibility split for decisions required on hosting, identity and deploy paths. An unnamed interface is an unnamed audit boundary.</w:t>
            </w:r>
          </w:p>
        </w:tc>
        <w:tc>
          <w:tcPr>
            <w:tcW w:type="dxa" w:w="3160"/>
          </w:tcPr>
          <w:p>
            <w:r/>
            <w:r>
              <w:rPr>
                <w:b w:val="0"/>
                <w:color w:val="1F2328"/>
                <w:sz w:val="18"/>
              </w:rPr>
              <w:t>ERR-decisions_required-SUP</w:t>
            </w:r>
          </w:p>
        </w:tc>
      </w:tr>
    </w:tbl>
    <w:p>
      <w:pPr>
        <w:spacing w:before="0" w:after="120"/>
      </w:pPr>
    </w:p>
    <w:p>
      <w:pPr>
        <w:pStyle w:val="973"/>
        <w:outlineLvl w:val="0"/>
      </w:pPr>
      <w:bookmarkStart w:id="14" w:name="_TocRAM010"/>
      <w:bookmarkStart w:id="3" w:name="ref_evidence_and_records"/>
      <w:r>
        <w:t>Evidence and records</w:t>
      </w:r>
      <w:bookmarkEnd w:id="3"/>
      <w:bookmarkEnd w:id="14"/>
    </w:p>
    <w:p>
      <w:r>
        <w:rPr>
          <w:b w:val="0"/>
        </w:rPr>
        <w:t>Related records live in the companion documents named below. This file cites them by their approved version. It does not copy their content. The Owner named on the cover is accountable for those live records.</w:t>
      </w:r>
    </w:p>
    <w:p>
      <w:pPr>
        <w:pStyle w:val="1006"/>
        <w:ind w:left="360" w:hanging="259"/>
        <w:numPr>
          <w:ilvl w:val="0"/>
          <w:numId w:val="11"/>
        </w:numPr>
      </w:pPr>
      <w:hyperlink r:id="rId16"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1"/>
        </w:numPr>
      </w:pPr>
      <w:hyperlink r:id="rId17"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1"/>
        </w:numPr>
      </w:pPr>
      <w:hyperlink r:id="rId18"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15" w:name="_TocRAM011"/>
      <w:bookmarkStart w:id="4" w:name="ref_external_references"/>
      <w:r>
        <w:t>References</w:t>
      </w:r>
      <w:bookmarkEnd w:id="4"/>
      <w:bookmarkEnd w:id="15"/>
    </w:p>
    <w:p>
      <w:pPr>
        <w:pStyle w:val="974"/>
        <w:outlineLvl w:val="1"/>
      </w:pPr>
      <w:bookmarkStart w:id="16" w:name="_TocRAM012"/>
      <w:r>
        <w:t>Linked documents</w:t>
      </w:r>
      <w:bookmarkEnd w:id="16"/>
    </w:p>
    <w:p>
      <w:r>
        <w:rPr>
          <w:b w:val="0"/>
        </w:rPr>
        <w:t>These companion files sit next to this document in the unpacked package. This file cites them by their approved version. It does not copy their content.</w:t>
      </w:r>
    </w:p>
    <w:p>
      <w:pPr>
        <w:pStyle w:val="1006"/>
        <w:ind w:left="360" w:hanging="259"/>
        <w:numPr>
          <w:ilvl w:val="0"/>
          <w:numId w:val="12"/>
        </w:numPr>
      </w:pPr>
      <w:hyperlink r:id="rId16"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17" w:history="1">
        <w:r>
          <w:rPr>
            <w:color w:val="0563C1"/>
            <w:u w:val="single"/>
          </w:rPr>
          <w:t xml:space="preserve">DR 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18"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w:t>
      </w:r>
    </w:p>
    <w:p>
      <w:pPr>
        <w:pStyle w:val="1006"/>
        <w:ind w:left="360" w:hanging="259"/>
        <w:numPr>
          <w:ilvl w:val="0"/>
          <w:numId w:val="12"/>
        </w:numPr>
      </w:pPr>
      <w:hyperlink r:id="rId19" w:history="1">
        <w:r>
          <w:rPr>
            <w:color w:val="0563C1"/>
            <w:u w:val="single"/>
          </w:rPr>
          <w:t xml:space="preserve">RR Risk Register (Building the ISMS, Planning, Risk &amp; Objectives (Clause 6))</w:t>
        </w:r>
      </w:hyperlink>
      <w:r>
        <w:rPr>
          <w:b w:val="0"/>
        </w:rPr>
        <w:t xml:space="preserve"> — Interface record. Cite this Document Control version; do not copy this file into that record.</w:t>
      </w:r>
    </w:p>
    <w:p>
      <w:pPr>
        <w:pStyle w:val="1006"/>
        <w:ind w:left="360" w:hanging="259"/>
        <w:numPr>
          <w:ilvl w:val="0"/>
          <w:numId w:val="12"/>
        </w:numPr>
      </w:pPr>
      <w:hyperlink r:id="rId20" w:history="1">
        <w:r>
          <w:rPr>
            <w:color w:val="0563C1"/>
            <w:u w:val="single"/>
          </w:rPr>
          <w:t xml:space="preserve">CAR Corrective Actions Register (Building the ISMS, Context of the Organization (Clause 4))</w:t>
        </w:r>
      </w:hyperlink>
      <w:r>
        <w:rPr>
          <w:b w:val="0"/>
        </w:rPr>
        <w:t xml:space="preserve"> — Interface record. Cite this Document Control version; do not copy this file into that record.</w:t>
      </w:r>
    </w:p>
    <w:p>
      <w:pPr>
        <w:pStyle w:val="1006"/>
        <w:ind w:left="360" w:hanging="259"/>
        <w:numPr>
          <w:ilvl w:val="0"/>
          <w:numId w:val="12"/>
        </w:numPr>
      </w:pPr>
      <w:hyperlink r:id="rId21" w:history="1">
        <w:r>
          <w:rPr>
            <w:color w:val="0563C1"/>
            <w:u w:val="single"/>
          </w:rPr>
          <w:t xml:space="preserve">DPIA Data Protection Impact Assessment (Dual Compliance, ISO 27001 &amp; EU Data Act)</w:t>
        </w:r>
      </w:hyperlink>
      <w:r>
        <w:rPr>
          <w:b w:val="0"/>
        </w:rPr>
        <w:t xml:space="preserve"> — Interface record. Cite this Document Control version; do not copy this file into that record.</w:t>
      </w:r>
    </w:p>
    <w:p>
      <w:pPr>
        <w:pStyle w:val="1006"/>
        <w:ind w:left="360" w:hanging="259"/>
        <w:numPr>
          <w:ilvl w:val="0"/>
          <w:numId w:val="12"/>
        </w:numPr>
      </w:pPr>
      <w:hyperlink r:id="rId22" w:history="1">
        <w:r>
          <w:rPr>
            <w:color w:val="0563C1"/>
            <w:u w:val="single"/>
          </w:rPr>
          <w:t xml:space="preserve">ELAI Evidence Log / Audit Pack Index (Implementation &amp; Certification, Audit Process)</w:t>
        </w:r>
      </w:hyperlink>
      <w:r>
        <w:rPr>
          <w:b w:val="0"/>
        </w:rPr>
        <w:t xml:space="preserve"> — Interface record. Cite this Document Control version; do not copy this file into that record.</w:t>
      </w:r>
    </w:p>
    <w:p>
      <w:pPr>
        <w:pStyle w:val="974"/>
        <w:outlineLvl w:val="1"/>
      </w:pPr>
      <w:bookmarkStart w:id="17" w:name="_TocRAM013"/>
      <w:r>
        <w:t>External references</w:t>
      </w:r>
      <w:bookmarkEnd w:id="17"/>
    </w:p>
    <w:p>
      <w:r>
        <w:rPr>
          <w:b w:val="0"/>
        </w:rPr>
        <w:t>Cite these ISO clauses and book chapters from workshops and audits.</w:t>
      </w:r>
    </w:p>
    <w:p>
      <w:pPr>
        <w:pStyle w:val="1006"/>
        <w:ind w:left="360" w:hanging="259"/>
        <w:numPr>
          <w:ilvl w:val="0"/>
          <w:numId w:val="13"/>
        </w:numPr>
      </w:pPr>
      <w:hyperlink r:id="rId23"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3"/>
        </w:numPr>
      </w:pPr>
      <w:hyperlink r:id="rId24" w:history="1">
        <w:r>
          <w:rPr>
            <w:color w:val="0563C1"/>
            <w:u w:val="single"/>
          </w:rPr>
          <w:t xml:space="preserve">Building the ISMS, Leadership &amp; Management (Clause 5)</w:t>
        </w:r>
      </w:hyperlink>
      <w:r>
        <w:rPr>
          <w:b w:val="0"/>
        </w:rPr>
        <w:t xml:space="preserve"> — Primary operating chapter for this companion artifact.</w:t>
      </w:r>
    </w:p>
    <w:p>
      <w:pPr>
        <w:pStyle w:val="1006"/>
        <w:ind w:left="360" w:hanging="259"/>
        <w:numPr>
          <w:ilvl w:val="0"/>
          <w:numId w:val="13"/>
        </w:numPr>
      </w:pPr>
      <w:hyperlink r:id="rId24" w:history="1">
        <w:r>
          <w:rPr>
            <w:color w:val="0563C1"/>
            <w:u w:val="single"/>
          </w:rPr>
          <w:t xml:space="preserve">Building the ISMS, Information Security Policies &amp; Risk Management</w:t>
        </w:r>
      </w:hyperlink>
      <w:r>
        <w:rPr>
          <w:b w:val="0"/>
        </w:rPr>
        <w:t xml:space="preserve"> — Primary operating chapter for this companion artifact.</w:t>
      </w:r>
    </w:p>
    <w:p>
      <w:pPr>
        <w:pStyle w:val="1006"/>
        <w:ind w:left="360" w:hanging="259"/>
        <w:numPr>
          <w:ilvl w:val="0"/>
          <w:numId w:val="13"/>
        </w:numPr>
      </w:pPr>
      <w:hyperlink r:id="rId24" w:history="1">
        <w:r>
          <w:rPr>
            <w:color w:val="0563C1"/>
            <w:u w:val="single"/>
          </w:rPr>
          <w:t xml:space="preserve">Building the ISMS, Planning, Risk &amp; Objectives (Clause 6)</w:t>
        </w:r>
      </w:hyperlink>
      <w:r>
        <w:rPr>
          <w:b w:val="0"/>
        </w:rPr>
        <w:t xml:space="preserve"> — Documented information, review and version discipline.</w:t>
      </w:r>
    </w:p>
    <w:p>
      <w:pPr>
        <w:pStyle w:val="1006"/>
        <w:ind w:left="360" w:hanging="259"/>
        <w:numPr>
          <w:ilvl w:val="0"/>
          <w:numId w:val="13"/>
        </w:numPr>
      </w:pPr>
      <w:hyperlink r:id="rId24" w:history="1">
        <w:r>
          <w:rPr>
            <w:color w:val="0563C1"/>
            <w:u w:val="single"/>
          </w:rPr>
          <w:t xml:space="preserve">Building the ISMS, Leadership &amp; Management (Clause 5)</w:t>
        </w:r>
      </w:hyperlink>
      <w:r>
        <w:rPr>
          <w:b w:val="0"/>
        </w:rPr>
        <w:t xml:space="preserve"> — Chapter cited in this document's hints.</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Executive Risk Report (ERR)</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MDR_Mandatory_Documents_and_Records_Register.xlsx" TargetMode="External"/><Relationship Id="rId17" Type="http://schemas.openxmlformats.org/officeDocument/2006/relationships/hyperlink" Target="DR_Document_Register.xlsx" TargetMode="External"/><Relationship Id="rId18" Type="http://schemas.openxmlformats.org/officeDocument/2006/relationships/hyperlink" Target="RRS_Records_Retention_Schedule_Register.xlsx" TargetMode="External"/><Relationship Id="rId19" Type="http://schemas.openxmlformats.org/officeDocument/2006/relationships/hyperlink" Target="RR_Risk_Register.xlsx" TargetMode="External"/><Relationship Id="rId20" Type="http://schemas.openxmlformats.org/officeDocument/2006/relationships/hyperlink" Target="CAR_Corrective_Actions_Register.xlsx" TargetMode="External"/><Relationship Id="rId21" Type="http://schemas.openxmlformats.org/officeDocument/2006/relationships/hyperlink" Target="DPIA_Data_Protection_Impact_Assessment_Plan.docx" TargetMode="External"/><Relationship Id="rId22" Type="http://schemas.openxmlformats.org/officeDocument/2006/relationships/hyperlink" Target="ELAI_Evidence_Log_Audit_Pack_Index.xlsx" TargetMode="External"/><Relationship Id="rId23" Type="http://schemas.openxmlformats.org/officeDocument/2006/relationships/hyperlink" Target="https://www.iso.org/standard/82875.html" TargetMode="External"/><Relationship Id="rId24" Type="http://schemas.openxmlformats.org/officeDocument/2006/relationships/hyperlink" Target="https://www.amazon.com/dp/978990898344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Risk Report</dc:title>
  <dc:subject>Official ExportableProof Companion Artifact ERR</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Plan</cp:category>
</cp:coreProperties>
</file>