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Critical Supplier Security Assessment Questionnaire</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shows a critical supplier assessment for a cloud analytics hosting provider. It demonstrates how certification evidence, SOC (Security Operations Center) 2 assurance, data-protection commitments, continuity evidence and subprocessor questions are tied to approval conditions. This form is the operating template used with Arcfield Platform freeze records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Supplier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ISMS Manager</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604"/>
        <w:gridCol w:w="1468"/>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604"/>
            <w:shd w:fill="F7F9FC"/>
          </w:tcPr>
          <w:p>
            <w:r/>
            <w:r>
              <w:rPr>
                <w:b/>
                <w:color w:val="1F6FEB"/>
                <w:sz w:val="18"/>
              </w:rPr>
              <w:t>Change</w:t>
            </w:r>
          </w:p>
        </w:tc>
        <w:tc>
          <w:tcPr>
            <w:tcW w:type="dxa" w:w="1468"/>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604"/>
          </w:tcPr>
          <w:p>
            <w:r/>
            <w:r>
              <w:rPr>
                <w:b w:val="0"/>
                <w:color w:val="1F2328"/>
                <w:sz w:val="18"/>
              </w:rPr>
              <w:t>Initial Arcfield Platform publication.</w:t>
            </w:r>
          </w:p>
        </w:tc>
        <w:tc>
          <w:tcPr>
            <w:tcW w:type="dxa" w:w="1468"/>
          </w:tcPr>
          <w:p>
            <w:r/>
            <w:r>
              <w:rPr>
                <w:b w:val="0"/>
                <w:color w:val="1F2328"/>
                <w:sz w:val="18"/>
              </w:rPr>
              <w:t>ISMS Manager</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604"/>
          </w:tcPr>
          <w:p>
            <w:r/>
            <w:r>
              <w:rPr>
                <w:b w:val="0"/>
                <w:color w:val="1F2328"/>
                <w:sz w:val="18"/>
              </w:rPr>
              <w:t>Approved Arcfield worked example after the 11 September 2026 internal audit.</w:t>
            </w:r>
          </w:p>
        </w:tc>
        <w:tc>
          <w:tcPr>
            <w:tcW w:type="dxa" w:w="1468"/>
          </w:tcPr>
          <w:p>
            <w:r/>
            <w:r>
              <w:rPr>
                <w:b w:val="0"/>
                <w:color w:val="1F2328"/>
                <w:sz w:val="18"/>
              </w:rPr>
              <w:t>ISMS Manager</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Form responses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form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Certifications and Compliance</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Information Security Governance</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Access Control and Endpoint Security</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Data Protection</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Backup Continuity and Incident Management</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Subcontractors</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Evidence and attachments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Review and decision</w:t>
            </w:r>
            <w:r>
              <w:tab/>
            </w:r>
            <w:r>
              <w:fldChar w:fldCharType="begin"/>
              <w:instrText xml:space="preserve"> PAGEREF _TocRAM012 \h </w:instrText>
              <w:fldChar w:fldCharType="separate"/>
              <w:t xml:space="preserve"> </w:t>
              <w:fldChar w:fldCharType="end"/>
            </w:r>
          </w:hyperlink>
        </w:p>
        <w:p>
          <w:pPr>
            <w:pStyle w:val="957"/>
            <w:tabs>
              <w:tab w:val="right" w:leader="dot" w:pos="10080"/>
            </w:tabs>
          </w:pPr>
          <w:hyperlink w:anchor="_TocRAM013" w:history="1">
            <w:r>
              <w:rPr>
                <w:rStyle w:val="955"/>
              </w:rPr>
              <w:t xml:space="preserve">References</w:t>
            </w:r>
            <w:r>
              <w:tab/>
            </w:r>
            <w:r>
              <w:fldChar w:fldCharType="begin"/>
              <w:instrText xml:space="preserve"> PAGEREF _TocRAM013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Critical suppliers need evidence-backed answers, explicit exceptions and accountable follow-up actions before approval.</w:t>
              <w:br/>
              <w:br/>
              <w:t>Book reference: Building the ISMS, HR Security: Screening, Onboarding &amp; Offboarding</w:t>
            </w:r>
          </w:p>
        </w:tc>
      </w:tr>
    </w:tbl>
    <w:p>
      <w:r>
        <w:br w:type="page"/>
      </w:r>
    </w:p>
    <w:p>
      <w:pPr>
        <w:pStyle w:val="973"/>
        <w:outlineLvl w:val="0"/>
      </w:pPr>
      <w:bookmarkStart w:id="6" w:name="_TocRAM001"/>
      <w:bookmarkStart w:id="2" w:name="ref_form_responses"/>
      <w:r>
        <w:t>Form responses</w:t>
      </w:r>
      <w:bookmarkEnd w:id="2"/>
      <w:bookmarkEnd w:id="6"/>
    </w:p>
    <w:p>
      <w:pPr>
        <w:pStyle w:val="974"/>
        <w:outlineLvl w:val="1"/>
      </w:pPr>
      <w:bookmarkStart w:id="7" w:name="_TocRAM002"/>
      <w:r>
        <w:t>What this form is</w:t>
      </w:r>
      <w:bookmarkEnd w:id="7"/>
    </w:p>
    <w:p>
      <w:r>
        <w:rPr>
          <w:b w:val="0"/>
        </w:rPr>
        <w:t>This document is Arcfield's Critical Supplier Security Assessment Questionnaire. Assess critical suppliers against information security and compliance expectations before onboarding and during periodic review. It is not a methodology essay or the governing policy. This form applies to the Arcfield Platform (B2B SaaS (Software as a Service) for regulated fintech and health customers): production, customer data, CI/CD (Continuous Integration / Continuous Delivery), privileged access and critical suppliers. Neighbouring records (SINV, ISO (International Organization for Standardization), BCP (Business Continuity Plan)) cite this Document Control version. Do not copy these paragraphs into them.</w:t>
      </w:r>
    </w:p>
    <w:p>
      <w:pPr>
        <w:pStyle w:val="974"/>
        <w:outlineLvl w:val="1"/>
      </w:pPr>
      <w:bookmarkStart w:id="8" w:name="_TocRAM003"/>
      <w:r>
        <w:t>Scope</w:t>
      </w:r>
      <w:bookmarkEnd w:id="8"/>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SINV, ISO, BCP.</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9" w:name="_TocRAM004"/>
      <w:r>
        <w:t>Terms used here</w:t>
      </w:r>
      <w:bookmarkEnd w:id="9"/>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spacing w:before="40" w:after="0"/>
      </w:pPr>
      <w:r>
        <w:rPr>
          <w:color w:val="5B5B5B"/>
          <w:sz w:val="18"/>
        </w:rPr>
        <w:t>Assessment ID</w:t>
      </w:r>
    </w:p>
    <w:p>
      <w:pPr>
        <w:spacing w:before="0" w:after="200"/>
        <w:shd w:val="clear" w:fill="F4F6F8"/>
        <w:pBdr>
          <w:bottom w:val="single" w:sz="8" w:space="1" w:color="8A8A8A"/>
        </w:pBdr>
      </w:pPr>
      <w:r>
        <w:rPr>
          <w:b w:val="0"/>
          <w:color w:val="222222"/>
        </w:rPr>
        <w:t>CSSAQ-2026-CLOUDHOST-001</w:t>
      </w:r>
    </w:p>
    <w:p>
      <w:pPr>
        <w:spacing w:before="40" w:after="0"/>
      </w:pPr>
      <w:r>
        <w:rPr>
          <w:color w:val="5B5B5B"/>
          <w:sz w:val="18"/>
        </w:rPr>
        <w:t>Supplier Legal Name</w:t>
      </w:r>
    </w:p>
    <w:p>
      <w:pPr>
        <w:spacing w:before="0" w:after="200"/>
        <w:shd w:val="clear" w:fill="F4F6F8"/>
        <w:pBdr>
          <w:bottom w:val="single" w:sz="8" w:space="1" w:color="8A8A8A"/>
        </w:pBdr>
      </w:pPr>
      <w:r>
        <w:rPr>
          <w:b w:val="0"/>
          <w:color w:val="222222"/>
        </w:rPr>
        <w:t>CloudHost Analytics Ltd.</w:t>
      </w:r>
    </w:p>
    <w:p>
      <w:pPr>
        <w:spacing w:before="40" w:after="0"/>
      </w:pPr>
      <w:r>
        <w:rPr>
          <w:color w:val="5B5B5B"/>
          <w:sz w:val="18"/>
        </w:rPr>
        <w:t>Supplier Type</w:t>
      </w:r>
    </w:p>
    <w:p>
      <w:pPr>
        <w:spacing w:before="0" w:after="200"/>
        <w:shd w:val="clear" w:fill="F4F6F8"/>
        <w:pBdr>
          <w:bottom w:val="single" w:sz="8" w:space="1" w:color="8A8A8A"/>
        </w:pBdr>
      </w:pPr>
      <w:r>
        <w:rPr>
          <w:b w:val="0"/>
          <w:color w:val="222222"/>
        </w:rPr>
        <w:t>Cloud infrastructure and analytics provider</w:t>
      </w:r>
    </w:p>
    <w:p>
      <w:pPr>
        <w:spacing w:before="40" w:after="0"/>
      </w:pPr>
      <w:r>
        <w:rPr>
          <w:color w:val="5B5B5B"/>
          <w:sz w:val="18"/>
        </w:rPr>
        <w:t>Country or Region</w:t>
      </w:r>
    </w:p>
    <w:p>
      <w:pPr>
        <w:spacing w:before="0" w:after="200"/>
        <w:shd w:val="clear" w:fill="F4F6F8"/>
        <w:pBdr>
          <w:bottom w:val="single" w:sz="8" w:space="1" w:color="8A8A8A"/>
        </w:pBdr>
      </w:pPr>
      <w:r>
        <w:rPr>
          <w:b w:val="0"/>
          <w:color w:val="222222"/>
        </w:rPr>
        <w:t>EU and UK</w:t>
      </w:r>
    </w:p>
    <w:p>
      <w:pPr>
        <w:spacing w:before="40" w:after="0"/>
      </w:pPr>
      <w:r>
        <w:rPr>
          <w:color w:val="5B5B5B"/>
          <w:sz w:val="18"/>
        </w:rPr>
        <w:t>Service Provided</w:t>
      </w:r>
    </w:p>
    <w:p>
      <w:pPr>
        <w:spacing w:before="0" w:after="200"/>
        <w:shd w:val="clear" w:fill="F4F6F8"/>
        <w:pBdr>
          <w:bottom w:val="single" w:sz="8" w:space="1" w:color="8A8A8A"/>
        </w:pBdr>
      </w:pPr>
      <w:r>
        <w:rPr>
          <w:b w:val="0"/>
          <w:color w:val="222222"/>
        </w:rPr>
        <w:t>Cloud analytics hosting for customer support telemetry</w:t>
      </w:r>
    </w:p>
    <w:p>
      <w:pPr>
        <w:spacing w:before="40" w:after="0"/>
      </w:pPr>
      <w:r>
        <w:rPr>
          <w:color w:val="5B5B5B"/>
          <w:sz w:val="18"/>
        </w:rPr>
        <w:t>Arcfield Business Owner</w:t>
      </w:r>
    </w:p>
    <w:p>
      <w:pPr>
        <w:spacing w:before="0" w:after="200"/>
        <w:shd w:val="clear" w:fill="F4F6F8"/>
        <w:pBdr>
          <w:bottom w:val="single" w:sz="8" w:space="1" w:color="8A8A8A"/>
        </w:pBdr>
      </w:pPr>
      <w:r>
        <w:rPr>
          <w:b w:val="0"/>
          <w:color w:val="222222"/>
        </w:rPr>
        <w:t>Cloud Service Owner</w:t>
      </w:r>
    </w:p>
    <w:p>
      <w:pPr>
        <w:spacing w:before="40" w:after="0"/>
      </w:pPr>
      <w:r>
        <w:rPr>
          <w:color w:val="5B5B5B"/>
          <w:sz w:val="18"/>
        </w:rPr>
        <w:t>Supplier Criticality</w:t>
      </w:r>
    </w:p>
    <w:p>
      <w:pPr>
        <w:spacing w:before="0" w:after="200"/>
        <w:shd w:val="clear" w:fill="F4F6F8"/>
        <w:pBdr>
          <w:bottom w:val="single" w:sz="8" w:space="1" w:color="8A8A8A"/>
        </w:pBdr>
      </w:pPr>
      <w:r>
        <w:rPr>
          <w:b w:val="0"/>
          <w:color w:val="222222"/>
        </w:rPr>
        <w:t>Critical</w:t>
      </w:r>
    </w:p>
    <w:p>
      <w:pPr>
        <w:spacing w:before="40" w:after="0"/>
      </w:pPr>
      <w:r>
        <w:rPr>
          <w:color w:val="5B5B5B"/>
          <w:sz w:val="18"/>
        </w:rPr>
        <w:t>Data Processed</w:t>
      </w:r>
    </w:p>
    <w:p>
      <w:pPr>
        <w:spacing w:before="0" w:after="200"/>
        <w:shd w:val="clear" w:fill="F4F6F8"/>
        <w:pBdr>
          <w:bottom w:val="single" w:sz="8" w:space="1" w:color="8A8A8A"/>
        </w:pBdr>
      </w:pPr>
      <w:r>
        <w:rPr>
          <w:b w:val="0"/>
          <w:color w:val="222222"/>
        </w:rPr>
        <w:t>Customer support metadata and operational logs</w:t>
      </w:r>
    </w:p>
    <w:p>
      <w:pPr>
        <w:spacing w:before="40" w:after="0"/>
      </w:pPr>
      <w:r>
        <w:rPr>
          <w:color w:val="5B5B5B"/>
          <w:sz w:val="18"/>
        </w:rPr>
        <w:t>Security Contact Role</w:t>
      </w:r>
    </w:p>
    <w:p>
      <w:pPr>
        <w:spacing w:before="0" w:after="200"/>
        <w:shd w:val="clear" w:fill="F4F6F8"/>
        <w:pBdr>
          <w:bottom w:val="single" w:sz="8" w:space="1" w:color="8A8A8A"/>
        </w:pBdr>
      </w:pPr>
      <w:r>
        <w:rPr>
          <w:b w:val="0"/>
          <w:color w:val="222222"/>
        </w:rPr>
        <w:t>Supplier Security Assurance Manager</w:t>
      </w:r>
    </w:p>
    <w:p>
      <w:pPr>
        <w:spacing w:before="40" w:after="0"/>
      </w:pPr>
      <w:r>
        <w:rPr>
          <w:color w:val="5B5B5B"/>
          <w:sz w:val="18"/>
        </w:rPr>
        <w:t>Assessment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Assessor Role</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Overall Assessment</w:t>
      </w:r>
    </w:p>
    <w:p>
      <w:pPr>
        <w:spacing w:before="0" w:after="200"/>
        <w:shd w:val="clear" w:fill="F4F6F8"/>
        <w:pBdr>
          <w:bottom w:val="single" w:sz="8" w:space="1" w:color="8A8A8A"/>
        </w:pBdr>
      </w:pPr>
      <w:r>
        <w:rPr>
          <w:b w:val="0"/>
          <w:color w:val="222222"/>
        </w:rPr>
        <w:t>Approved with conditions</w:t>
      </w:r>
    </w:p>
    <w:p>
      <w:pPr>
        <w:spacing w:before="40" w:after="0"/>
      </w:pPr>
      <w:r>
        <w:rPr>
          <w:color w:val="5B5B5B"/>
          <w:sz w:val="18"/>
        </w:rPr>
        <w:t>Status</w:t>
      </w:r>
    </w:p>
    <w:p>
      <w:pPr>
        <w:spacing w:before="0" w:after="200"/>
        <w:shd w:val="clear" w:fill="F4F6F8"/>
        <w:pBdr>
          <w:bottom w:val="single" w:sz="8" w:space="1" w:color="8A8A8A"/>
        </w:pBdr>
      </w:pPr>
      <w:r>
        <w:rPr>
          <w:b w:val="0"/>
          <w:color w:val="222222"/>
        </w:rPr>
        <w:t>Open follow-up</w:t>
      </w:r>
    </w:p>
    <w:p>
      <w:pPr>
        <w:pStyle w:val="974"/>
        <w:outlineLvl w:val="1"/>
      </w:pPr>
      <w:bookmarkStart w:id="10" w:name="_TocRAM005"/>
      <w:r>
        <w:t>Certifications and Compliance</w:t>
      </w:r>
      <w:bookmarkEnd w:id="10"/>
    </w:p>
    <w:p>
      <w:pPr>
        <w:spacing w:before="240" w:after="80"/>
      </w:pPr>
      <w:r>
        <w:rPr>
          <w:b/>
        </w:rPr>
        <w:t>Does the supplier maintain ISO 27001 certification or equivalent assurance?</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CLOUDHOST-ISO27001-2026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Certificate current and scope covers hosting service.</w:t>
      </w:r>
    </w:p>
    <w:p>
      <w:pPr>
        <w:spacing w:before="240" w:after="80"/>
      </w:pPr>
      <w:r>
        <w:rPr>
          <w:b/>
        </w:rPr>
        <w:t>Does the supplier provide SOC 2 or equivalent cloud assurance?</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CLOUDHOST-SOC2-2026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SOC 2 report reviewed for access and operations controls.</w:t>
      </w:r>
    </w:p>
    <w:p>
      <w:pPr>
        <w:pStyle w:val="974"/>
        <w:outlineLvl w:val="1"/>
      </w:pPr>
      <w:bookmarkStart w:id="11" w:name="_TocRAM006"/>
      <w:r>
        <w:t>Information Security Governance</w:t>
      </w:r>
      <w:bookmarkEnd w:id="11"/>
    </w:p>
    <w:p>
      <w:pPr>
        <w:spacing w:before="240" w:after="80"/>
      </w:pPr>
      <w:r>
        <w:rPr>
          <w:b/>
        </w:rPr>
        <w:t>Are security roles, policies and management responsibilities defined?</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CLOUDHOST-SEC-OVERVIEW-2026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Governance overview accepted.</w:t>
      </w:r>
    </w:p>
    <w:p>
      <w:pPr>
        <w:pStyle w:val="974"/>
        <w:outlineLvl w:val="1"/>
      </w:pPr>
      <w:bookmarkStart w:id="12" w:name="_TocRAM007"/>
      <w:r>
        <w:t>Access Control and Endpoint Security</w:t>
      </w:r>
      <w:bookmarkEnd w:id="12"/>
    </w:p>
    <w:p>
      <w:pPr>
        <w:spacing w:before="240" w:after="80"/>
      </w:pPr>
      <w:r>
        <w:rPr>
          <w:b/>
        </w:rPr>
        <w:t>Is MFA (Multi-Factor Authentication) enforced for privileged and remote access?</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CLOUDHOST-IAM (Identity and Access Management)-STATEMENT-2026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MFA control description included.</w:t>
      </w:r>
    </w:p>
    <w:p>
      <w:pPr>
        <w:pStyle w:val="974"/>
        <w:outlineLvl w:val="1"/>
      </w:pPr>
      <w:bookmarkStart w:id="13" w:name="_TocRAM008"/>
      <w:r>
        <w:t>Data Protection</w:t>
      </w:r>
      <w:bookmarkEnd w:id="13"/>
    </w:p>
    <w:p>
      <w:pPr>
        <w:spacing w:before="240" w:after="80"/>
      </w:pPr>
      <w:r>
        <w:rPr>
          <w:b/>
        </w:rPr>
        <w:t>Are data locations, subprocessors and deletion commitments documented?</w:t>
      </w:r>
    </w:p>
    <w:p>
      <w:pPr>
        <w:spacing w:before="40" w:after="0"/>
      </w:pPr>
      <w:r>
        <w:rPr>
          <w:color w:val="5B5B5B"/>
          <w:sz w:val="18"/>
        </w:rPr>
        <w:t>Response</w:t>
      </w:r>
    </w:p>
    <w:p>
      <w:pPr>
        <w:spacing w:before="0" w:after="200"/>
        <w:shd w:val="clear" w:fill="F4F6F8"/>
        <w:pBdr>
          <w:bottom w:val="single" w:sz="8" w:space="1" w:color="8A8A8A"/>
        </w:pBdr>
      </w:pPr>
      <w:r>
        <w:rPr>
          <w:b w:val="0"/>
          <w:color w:val="222222"/>
        </w:rPr>
        <w:t>Partial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DPA (Data Processing Agreement)-CLOUDHOST-2026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Notes</w:t>
      </w:r>
    </w:p>
    <w:p>
      <w:pPr>
        <w:spacing w:before="0" w:after="200"/>
        <w:shd w:val="clear" w:fill="F4F6F8"/>
        <w:pBdr>
          <w:bottom w:val="single" w:sz="8" w:space="1" w:color="8A8A8A"/>
        </w:pBdr>
      </w:pPr>
      <w:r>
        <w:rPr>
          <w:b w:val="0"/>
          <w:color w:val="222222"/>
        </w:rPr>
        <w:t>Subprocessor list current; deletion evidence requested.</w:t>
      </w:r>
    </w:p>
    <w:p>
      <w:pPr>
        <w:pStyle w:val="974"/>
        <w:outlineLvl w:val="1"/>
      </w:pPr>
      <w:bookmarkStart w:id="14" w:name="_TocRAM009"/>
      <w:r>
        <w:t>Backup Continuity and Incident Management</w:t>
      </w:r>
      <w:bookmarkEnd w:id="14"/>
    </w:p>
    <w:p>
      <w:pPr>
        <w:spacing w:before="240" w:after="80"/>
      </w:pPr>
      <w:r>
        <w:rPr>
          <w:b/>
        </w:rPr>
        <w:t>Are RTO/RPO (Recovery Time Objective / Recovery Point Objective) and restore tests documented for the service?</w:t>
      </w:r>
    </w:p>
    <w:p>
      <w:pPr>
        <w:spacing w:before="40" w:after="0"/>
      </w:pPr>
      <w:r>
        <w:rPr>
          <w:color w:val="5B5B5B"/>
          <w:sz w:val="18"/>
        </w:rPr>
        <w:t>Response</w:t>
      </w:r>
    </w:p>
    <w:p>
      <w:pPr>
        <w:spacing w:before="0" w:after="200"/>
        <w:shd w:val="clear" w:fill="F4F6F8"/>
        <w:pBdr>
          <w:bottom w:val="single" w:sz="8" w:space="1" w:color="8A8A8A"/>
        </w:pBdr>
      </w:pPr>
      <w:r>
        <w:rPr>
          <w:b w:val="0"/>
          <w:color w:val="222222"/>
        </w:rPr>
        <w:t>Partial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CLOUDHOST-BCP-2026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Notes</w:t>
      </w:r>
    </w:p>
    <w:p>
      <w:pPr>
        <w:spacing w:before="0" w:after="200"/>
        <w:shd w:val="clear" w:fill="F4F6F8"/>
        <w:pBdr>
          <w:bottom w:val="single" w:sz="8" w:space="1" w:color="8A8A8A"/>
        </w:pBdr>
      </w:pPr>
      <w:r>
        <w:rPr>
          <w:b w:val="0"/>
          <w:color w:val="222222"/>
        </w:rPr>
        <w:t>Restore test summary not yet provided.</w:t>
      </w:r>
    </w:p>
    <w:p>
      <w:pPr>
        <w:spacing w:before="240" w:after="80"/>
      </w:pPr>
      <w:r>
        <w:rPr>
          <w:b/>
        </w:rPr>
        <w:t>Are incident notification timelines contractually defined?</w:t>
      </w:r>
    </w:p>
    <w:p>
      <w:pPr>
        <w:spacing w:before="40" w:after="0"/>
      </w:pPr>
      <w:r>
        <w:rPr>
          <w:color w:val="5B5B5B"/>
          <w:sz w:val="18"/>
        </w:rPr>
        <w:t>Response</w:t>
      </w:r>
    </w:p>
    <w:p>
      <w:pPr>
        <w:spacing w:before="0" w:after="200"/>
        <w:shd w:val="clear" w:fill="F4F6F8"/>
        <w:pBdr>
          <w:bottom w:val="single" w:sz="8" w:space="1" w:color="8A8A8A"/>
        </w:pBdr>
      </w:pPr>
      <w:r>
        <w:rPr>
          <w:b w:val="0"/>
          <w:color w:val="222222"/>
        </w:rPr>
        <w:t>Yes</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CLOUDHOST-MSA (Master Services Agreement)-SEC-SCHEDULE-2026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No</w:t>
      </w:r>
    </w:p>
    <w:p>
      <w:pPr>
        <w:spacing w:before="40" w:after="0"/>
      </w:pPr>
      <w:r>
        <w:rPr>
          <w:color w:val="5B5B5B"/>
          <w:sz w:val="18"/>
        </w:rPr>
        <w:t>Notes</w:t>
      </w:r>
    </w:p>
    <w:p>
      <w:pPr>
        <w:spacing w:before="0" w:after="200"/>
        <w:shd w:val="clear" w:fill="F4F6F8"/>
        <w:pBdr>
          <w:bottom w:val="single" w:sz="8" w:space="1" w:color="8A8A8A"/>
        </w:pBdr>
      </w:pPr>
      <w:r>
        <w:rPr>
          <w:b w:val="0"/>
          <w:color w:val="222222"/>
        </w:rPr>
        <w:t>Customer notification route defined.</w:t>
      </w:r>
    </w:p>
    <w:p>
      <w:pPr>
        <w:pStyle w:val="974"/>
        <w:outlineLvl w:val="1"/>
      </w:pPr>
      <w:bookmarkStart w:id="15" w:name="_TocRAM010"/>
      <w:r>
        <w:t>Subcontractors</w:t>
      </w:r>
      <w:bookmarkEnd w:id="15"/>
    </w:p>
    <w:p>
      <w:pPr>
        <w:spacing w:before="240" w:after="80"/>
      </w:pPr>
      <w:r>
        <w:rPr>
          <w:b/>
        </w:rPr>
        <w:t>Are critical subprocessors disclosed and controlled?</w:t>
      </w:r>
    </w:p>
    <w:p>
      <w:pPr>
        <w:spacing w:before="40" w:after="0"/>
      </w:pPr>
      <w:r>
        <w:rPr>
          <w:color w:val="5B5B5B"/>
          <w:sz w:val="18"/>
        </w:rPr>
        <w:t>Response</w:t>
      </w:r>
    </w:p>
    <w:p>
      <w:pPr>
        <w:spacing w:before="0" w:after="200"/>
        <w:shd w:val="clear" w:fill="F4F6F8"/>
        <w:pBdr>
          <w:bottom w:val="single" w:sz="8" w:space="1" w:color="8A8A8A"/>
        </w:pBdr>
      </w:pPr>
      <w:r>
        <w:rPr>
          <w:b w:val="0"/>
          <w:color w:val="222222"/>
        </w:rPr>
        <w:t>Partial</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CLOUDHOST-SUBPROCESSORS-2026</w:t>
      </w:r>
    </w:p>
    <w:p>
      <w:pPr>
        <w:spacing w:before="40" w:after="0"/>
      </w:pPr>
      <w:r>
        <w:rPr>
          <w:color w:val="5B5B5B"/>
          <w:sz w:val="18"/>
        </w:rPr>
        <w:t>Follow-up 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Notes</w:t>
      </w:r>
    </w:p>
    <w:p>
      <w:pPr>
        <w:spacing w:before="0" w:after="200"/>
        <w:shd w:val="clear" w:fill="F4F6F8"/>
        <w:pBdr>
          <w:bottom w:val="single" w:sz="8" w:space="1" w:color="8A8A8A"/>
        </w:pBdr>
      </w:pPr>
      <w:r>
        <w:rPr>
          <w:b w:val="0"/>
          <w:color w:val="222222"/>
        </w:rPr>
        <w:t>Need confirmation for monitoring subprocessor region.</w:t>
      </w:r>
    </w:p>
    <w:p>
      <w:pPr>
        <w:pStyle w:val="973"/>
        <w:outlineLvl w:val="0"/>
      </w:pPr>
      <w:bookmarkStart w:id="16" w:name="_TocRAM011"/>
      <w:bookmarkStart w:id="3" w:name="ref_evidence_and_attachments"/>
      <w:r>
        <w:t>Evidence and attachments</w:t>
      </w:r>
      <w:bookmarkEnd w:id="3"/>
      <w:bookmarkEnd w:id="16"/>
    </w:p>
    <w:tbl>
      <w:tblPr>
        <w:tblStyle w:val="1033"/>
        <w:tblW w:type="dxa" w:w="10078"/>
        <w:jc w:val="left"/>
        <w:tblLayout w:type="fixed"/>
        <w:tblLook w:firstColumn="1" w:firstRow="1" w:lastColumn="0" w:lastRow="0" w:noHBand="0" w:noVBand="1" w:val="04A0"/>
      </w:tblPr>
      <w:tblGrid>
        <w:gridCol w:w="1454"/>
        <w:gridCol w:w="1558"/>
        <w:gridCol w:w="2184"/>
        <w:gridCol w:w="1036"/>
        <w:gridCol w:w="2288"/>
        <w:gridCol w:w="1558"/>
      </w:tblGrid>
      <w:tr>
        <w:trPr>
          <w:tblHeader/>
          <w:cantSplit/>
        </w:trPr>
        <w:tc>
          <w:tcPr>
            <w:tcW w:type="dxa" w:w="1454"/>
            <w:shd w:fill="F7F9FC"/>
          </w:tcPr>
          <w:p>
            <w:r/>
            <w:r>
              <w:rPr>
                <w:b/>
                <w:color w:val="1F6FEB"/>
                <w:sz w:val="18"/>
              </w:rPr>
              <w:t>Evidence ID</w:t>
            </w:r>
          </w:p>
        </w:tc>
        <w:tc>
          <w:tcPr>
            <w:tcW w:type="dxa" w:w="1558"/>
            <w:shd w:fill="F7F9FC"/>
          </w:tcPr>
          <w:p>
            <w:r/>
            <w:r>
              <w:rPr>
                <w:b/>
                <w:color w:val="1F6FEB"/>
                <w:sz w:val="18"/>
              </w:rPr>
              <w:t>Evidence Type</w:t>
            </w:r>
          </w:p>
        </w:tc>
        <w:tc>
          <w:tcPr>
            <w:tcW w:type="dxa" w:w="2184"/>
            <w:shd w:fill="F7F9FC"/>
          </w:tcPr>
          <w:p>
            <w:r/>
            <w:r>
              <w:rPr>
                <w:b/>
                <w:color w:val="1F6FEB"/>
                <w:sz w:val="18"/>
              </w:rPr>
              <w:t>Description</w:t>
            </w:r>
          </w:p>
        </w:tc>
        <w:tc>
          <w:tcPr>
            <w:tcW w:type="dxa" w:w="1036"/>
            <w:shd w:fill="F7F9FC"/>
          </w:tcPr>
          <w:p>
            <w:r/>
            <w:r>
              <w:rPr>
                <w:b/>
                <w:color w:val="1F6FEB"/>
                <w:sz w:val="18"/>
              </w:rPr>
              <w:t>Owner</w:t>
            </w:r>
          </w:p>
        </w:tc>
        <w:tc>
          <w:tcPr>
            <w:tcW w:type="dxa" w:w="2288"/>
            <w:shd w:fill="F7F9FC"/>
          </w:tcPr>
          <w:p>
            <w:r/>
            <w:r>
              <w:rPr>
                <w:b/>
                <w:color w:val="1F6FEB"/>
                <w:sz w:val="18"/>
              </w:rPr>
              <w:t>Evidence Reference</w:t>
            </w:r>
          </w:p>
        </w:tc>
        <w:tc>
          <w:tcPr>
            <w:tcW w:type="dxa" w:w="1558"/>
            <w:shd w:fill="F7F9FC"/>
          </w:tcPr>
          <w:p>
            <w:r/>
            <w:r>
              <w:rPr>
                <w:b/>
                <w:color w:val="1F6FEB"/>
                <w:sz w:val="18"/>
              </w:rPr>
              <w:t>Retention Note</w:t>
            </w:r>
          </w:p>
        </w:tc>
      </w:tr>
      <w:tr>
        <w:trPr>
          <w:cantSplit/>
        </w:trPr>
        <w:tc>
          <w:tcPr>
            <w:tcW w:type="dxa" w:w="1454"/>
          </w:tcPr>
          <w:p>
            <w:r/>
            <w:r>
              <w:rPr>
                <w:b w:val="0"/>
                <w:color w:val="1F2328"/>
                <w:sz w:val="18"/>
              </w:rPr>
              <w:t>CSSAQ-EV-001</w:t>
            </w:r>
          </w:p>
        </w:tc>
        <w:tc>
          <w:tcPr>
            <w:tcW w:type="dxa" w:w="1558"/>
          </w:tcPr>
          <w:p>
            <w:r/>
            <w:r>
              <w:rPr>
                <w:b w:val="0"/>
                <w:color w:val="1F2328"/>
                <w:sz w:val="18"/>
              </w:rPr>
              <w:t>Certification</w:t>
            </w:r>
          </w:p>
        </w:tc>
        <w:tc>
          <w:tcPr>
            <w:tcW w:type="dxa" w:w="2184"/>
          </w:tcPr>
          <w:p>
            <w:r/>
            <w:r>
              <w:rPr>
                <w:b w:val="0"/>
                <w:color w:val="1F2328"/>
                <w:sz w:val="18"/>
              </w:rPr>
              <w:t>ISO 27001 certificate and scope statement.</w:t>
            </w:r>
          </w:p>
        </w:tc>
        <w:tc>
          <w:tcPr>
            <w:tcW w:type="dxa" w:w="1036"/>
          </w:tcPr>
          <w:p>
            <w:r/>
            <w:r>
              <w:rPr>
                <w:b w:val="0"/>
                <w:color w:val="1F2328"/>
                <w:sz w:val="18"/>
              </w:rPr>
              <w:t>Supplier Manager</w:t>
            </w:r>
          </w:p>
        </w:tc>
        <w:tc>
          <w:tcPr>
            <w:tcW w:type="dxa" w:w="2288"/>
          </w:tcPr>
          <w:p>
            <w:r/>
            <w:r>
              <w:rPr>
                <w:b w:val="0"/>
                <w:color w:val="1F2328"/>
                <w:sz w:val="18"/>
              </w:rPr>
              <w:t>CLOUDHOST-ISO27001-2026</w:t>
            </w:r>
          </w:p>
        </w:tc>
        <w:tc>
          <w:tcPr>
            <w:tcW w:type="dxa" w:w="1558"/>
          </w:tcPr>
          <w:p>
            <w:r/>
            <w:r>
              <w:rPr>
                <w:b w:val="0"/>
                <w:color w:val="1F2328"/>
                <w:sz w:val="18"/>
              </w:rPr>
              <w:t>Retain with critical supplier file.</w:t>
            </w:r>
          </w:p>
        </w:tc>
      </w:tr>
      <w:tr>
        <w:trPr>
          <w:cantSplit/>
        </w:trPr>
        <w:tc>
          <w:tcPr>
            <w:tcW w:type="dxa" w:w="1454"/>
          </w:tcPr>
          <w:p>
            <w:r/>
            <w:r>
              <w:rPr>
                <w:b w:val="0"/>
                <w:color w:val="1F2328"/>
                <w:sz w:val="18"/>
              </w:rPr>
              <w:t>CSSAQ-EV-002</w:t>
            </w:r>
          </w:p>
        </w:tc>
        <w:tc>
          <w:tcPr>
            <w:tcW w:type="dxa" w:w="1558"/>
          </w:tcPr>
          <w:p>
            <w:r/>
            <w:r>
              <w:rPr>
                <w:b w:val="0"/>
                <w:color w:val="1F2328"/>
                <w:sz w:val="18"/>
              </w:rPr>
              <w:t>Assurance report</w:t>
            </w:r>
          </w:p>
        </w:tc>
        <w:tc>
          <w:tcPr>
            <w:tcW w:type="dxa" w:w="2184"/>
          </w:tcPr>
          <w:p>
            <w:r/>
            <w:r>
              <w:rPr>
                <w:b w:val="0"/>
                <w:color w:val="1F2328"/>
                <w:sz w:val="18"/>
              </w:rPr>
              <w:t>SOC 2 Type II report covering hosted service operations.</w:t>
            </w:r>
          </w:p>
        </w:tc>
        <w:tc>
          <w:tcPr>
            <w:tcW w:type="dxa" w:w="1036"/>
          </w:tcPr>
          <w:p>
            <w:r/>
            <w:r>
              <w:rPr>
                <w:b w:val="0"/>
                <w:color w:val="1F2328"/>
                <w:sz w:val="18"/>
              </w:rPr>
              <w:t>Supplier Manager</w:t>
            </w:r>
          </w:p>
        </w:tc>
        <w:tc>
          <w:tcPr>
            <w:tcW w:type="dxa" w:w="2288"/>
          </w:tcPr>
          <w:p>
            <w:r/>
            <w:r>
              <w:rPr>
                <w:b w:val="0"/>
                <w:color w:val="1F2328"/>
                <w:sz w:val="18"/>
              </w:rPr>
              <w:t>CLOUDHOST-SOC2-2026</w:t>
            </w:r>
          </w:p>
        </w:tc>
        <w:tc>
          <w:tcPr>
            <w:tcW w:type="dxa" w:w="1558"/>
          </w:tcPr>
          <w:p>
            <w:r/>
            <w:r>
              <w:rPr>
                <w:b w:val="0"/>
                <w:color w:val="1F2328"/>
                <w:sz w:val="18"/>
              </w:rPr>
              <w:t>Retain with assurance package.</w:t>
            </w:r>
          </w:p>
        </w:tc>
      </w:tr>
      <w:tr>
        <w:trPr>
          <w:cantSplit/>
        </w:trPr>
        <w:tc>
          <w:tcPr>
            <w:tcW w:type="dxa" w:w="1454"/>
          </w:tcPr>
          <w:p>
            <w:r/>
            <w:r>
              <w:rPr>
                <w:b w:val="0"/>
                <w:color w:val="1F2328"/>
                <w:sz w:val="18"/>
              </w:rPr>
              <w:t>CSSAQ-EV-003</w:t>
            </w:r>
          </w:p>
        </w:tc>
        <w:tc>
          <w:tcPr>
            <w:tcW w:type="dxa" w:w="1558"/>
          </w:tcPr>
          <w:p>
            <w:r/>
            <w:r>
              <w:rPr>
                <w:b w:val="0"/>
                <w:color w:val="1F2328"/>
                <w:sz w:val="18"/>
              </w:rPr>
              <w:t>Contract evidence</w:t>
            </w:r>
          </w:p>
        </w:tc>
        <w:tc>
          <w:tcPr>
            <w:tcW w:type="dxa" w:w="2184"/>
          </w:tcPr>
          <w:p>
            <w:r/>
            <w:r>
              <w:rPr>
                <w:b w:val="0"/>
                <w:color w:val="1F2328"/>
                <w:sz w:val="18"/>
              </w:rPr>
              <w:t>Data processing addendum and security schedule.</w:t>
            </w:r>
          </w:p>
        </w:tc>
        <w:tc>
          <w:tcPr>
            <w:tcW w:type="dxa" w:w="1036"/>
          </w:tcPr>
          <w:p>
            <w:r/>
            <w:r>
              <w:rPr>
                <w:b w:val="0"/>
                <w:color w:val="1F2328"/>
                <w:sz w:val="18"/>
              </w:rPr>
              <w:t>Legal Counsel</w:t>
            </w:r>
          </w:p>
        </w:tc>
        <w:tc>
          <w:tcPr>
            <w:tcW w:type="dxa" w:w="2288"/>
          </w:tcPr>
          <w:p>
            <w:r/>
            <w:r>
              <w:rPr>
                <w:b w:val="0"/>
                <w:color w:val="1F2328"/>
                <w:sz w:val="18"/>
              </w:rPr>
              <w:t>DPA-CLOUDHOST-2026</w:t>
            </w:r>
          </w:p>
        </w:tc>
        <w:tc>
          <w:tcPr>
            <w:tcW w:type="dxa" w:w="1558"/>
          </w:tcPr>
          <w:p>
            <w:r/>
            <w:r>
              <w:rPr>
                <w:b w:val="0"/>
                <w:color w:val="1F2328"/>
                <w:sz w:val="18"/>
              </w:rPr>
              <w:t>Retain during supplier relationship.</w:t>
            </w:r>
          </w:p>
        </w:tc>
      </w:tr>
      <w:tr>
        <w:trPr>
          <w:cantSplit/>
        </w:trPr>
        <w:tc>
          <w:tcPr>
            <w:tcW w:type="dxa" w:w="1454"/>
          </w:tcPr>
          <w:p>
            <w:r/>
            <w:r>
              <w:rPr>
                <w:b w:val="0"/>
                <w:color w:val="1F2328"/>
                <w:sz w:val="18"/>
              </w:rPr>
              <w:t>CSSAQ-EV-004</w:t>
            </w:r>
          </w:p>
        </w:tc>
        <w:tc>
          <w:tcPr>
            <w:tcW w:type="dxa" w:w="1558"/>
          </w:tcPr>
          <w:p>
            <w:r/>
            <w:r>
              <w:rPr>
                <w:b w:val="0"/>
                <w:color w:val="1F2328"/>
                <w:sz w:val="18"/>
              </w:rPr>
              <w:t>Follow-up request</w:t>
            </w:r>
          </w:p>
        </w:tc>
        <w:tc>
          <w:tcPr>
            <w:tcW w:type="dxa" w:w="2184"/>
          </w:tcPr>
          <w:p>
            <w:r/>
            <w:r>
              <w:rPr>
                <w:b w:val="0"/>
                <w:color w:val="1F2328"/>
                <w:sz w:val="18"/>
              </w:rPr>
              <w:t>Deletion evidence, restore test and subprocessor-region confirmation.</w:t>
            </w:r>
          </w:p>
        </w:tc>
        <w:tc>
          <w:tcPr>
            <w:tcW w:type="dxa" w:w="1036"/>
          </w:tcPr>
          <w:p>
            <w:r/>
            <w:r>
              <w:rPr>
                <w:b w:val="0"/>
                <w:color w:val="1F2328"/>
                <w:sz w:val="18"/>
              </w:rPr>
              <w:t>Supplier Manager</w:t>
            </w:r>
          </w:p>
        </w:tc>
        <w:tc>
          <w:tcPr>
            <w:tcW w:type="dxa" w:w="2288"/>
          </w:tcPr>
          <w:p>
            <w:r/>
            <w:r>
              <w:rPr>
                <w:b w:val="0"/>
                <w:color w:val="1F2328"/>
                <w:sz w:val="18"/>
              </w:rPr>
              <w:t>SINV-CLOUDHOST-FU-2026-Q3</w:t>
            </w:r>
          </w:p>
        </w:tc>
        <w:tc>
          <w:tcPr>
            <w:tcW w:type="dxa" w:w="1558"/>
          </w:tcPr>
          <w:p>
            <w:r/>
            <w:r>
              <w:rPr>
                <w:b w:val="0"/>
                <w:color w:val="1F2328"/>
                <w:sz w:val="18"/>
              </w:rPr>
              <w:t>Close before renewal decision.</w:t>
            </w:r>
          </w:p>
        </w:tc>
      </w:tr>
    </w:tbl>
    <w:p>
      <w:pPr>
        <w:spacing w:before="0" w:after="120"/>
      </w:pPr>
    </w:p>
    <w:p>
      <w:pPr>
        <w:pStyle w:val="973"/>
        <w:outlineLvl w:val="0"/>
      </w:pPr>
      <w:bookmarkStart w:id="17" w:name="_TocRAM012"/>
      <w:bookmarkStart w:id="4" w:name="ref_review_and_decision"/>
      <w:r>
        <w:t>Review and decision</w:t>
      </w:r>
      <w:bookmarkEnd w:id="4"/>
      <w:bookmarkEnd w:id="17"/>
    </w:p>
    <w:p>
      <w:pPr>
        <w:spacing w:before="40" w:after="0"/>
      </w:pPr>
      <w:r>
        <w:rPr>
          <w:color w:val="5B5B5B"/>
          <w:sz w:val="18"/>
        </w:rPr>
        <w:t>Decision</w:t>
      </w:r>
    </w:p>
    <w:p>
      <w:pPr>
        <w:spacing w:before="0" w:after="200"/>
        <w:shd w:val="clear" w:fill="F4F6F8"/>
        <w:pBdr>
          <w:bottom w:val="single" w:sz="8" w:space="1" w:color="8A8A8A"/>
        </w:pBdr>
      </w:pPr>
      <w:r>
        <w:rPr>
          <w:b w:val="0"/>
          <w:color w:val="222222"/>
        </w:rPr>
        <w:t>Approved with conditions</w:t>
      </w:r>
    </w:p>
    <w:p>
      <w:pPr>
        <w:spacing w:before="40" w:after="0"/>
      </w:pPr>
      <w:r>
        <w:rPr>
          <w:color w:val="5B5B5B"/>
          <w:sz w:val="18"/>
        </w:rPr>
        <w:t>Risk Rating</w:t>
      </w:r>
    </w:p>
    <w:p>
      <w:pPr>
        <w:spacing w:before="0" w:after="200"/>
        <w:shd w:val="clear" w:fill="F4F6F8"/>
        <w:pBdr>
          <w:bottom w:val="single" w:sz="8" w:space="1" w:color="8A8A8A"/>
        </w:pBdr>
      </w:pPr>
      <w:r>
        <w:rPr>
          <w:b w:val="0"/>
          <w:color w:val="222222"/>
        </w:rPr>
        <w:t>High</w:t>
      </w:r>
    </w:p>
    <w:p>
      <w:pPr>
        <w:spacing w:before="40" w:after="0"/>
      </w:pPr>
      <w:r>
        <w:rPr>
          <w:color w:val="5B5B5B"/>
          <w:sz w:val="18"/>
        </w:rPr>
        <w:t>Approval Conditions</w:t>
      </w:r>
    </w:p>
    <w:p>
      <w:pPr>
        <w:spacing w:before="0" w:after="200"/>
        <w:shd w:val="clear" w:fill="F4F6F8"/>
        <w:pBdr>
          <w:bottom w:val="single" w:sz="8" w:space="1" w:color="8A8A8A"/>
        </w:pBdr>
      </w:pPr>
      <w:r>
        <w:rPr>
          <w:b w:val="0"/>
          <w:color w:val="222222"/>
        </w:rPr>
        <w:t>Supplier must provide deletion evidence, latest restore-test summary and subprocessor-region confirmation.</w:t>
      </w:r>
    </w:p>
    <w:p>
      <w:pPr>
        <w:spacing w:before="40" w:after="0"/>
      </w:pPr>
      <w:r>
        <w:rPr>
          <w:color w:val="5B5B5B"/>
          <w:sz w:val="18"/>
        </w:rPr>
        <w:t>Required Follow-up Actions</w:t>
      </w:r>
    </w:p>
    <w:p>
      <w:pPr>
        <w:spacing w:before="0" w:after="200"/>
        <w:shd w:val="clear" w:fill="F4F6F8"/>
        <w:pBdr>
          <w:bottom w:val="single" w:sz="8" w:space="1" w:color="8A8A8A"/>
        </w:pBdr>
      </w:pPr>
      <w:r>
        <w:rPr>
          <w:b w:val="0"/>
          <w:color w:val="222222"/>
        </w:rPr>
        <w:t>Track three supplier actions in SINV and review before renewal.</w:t>
      </w:r>
    </w:p>
    <w:p>
      <w:pPr>
        <w:spacing w:before="40" w:after="0"/>
      </w:pPr>
      <w:r>
        <w:rPr>
          <w:color w:val="5B5B5B"/>
          <w:sz w:val="18"/>
        </w:rPr>
        <w:t>Owner Role</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Target Date</w:t>
      </w:r>
    </w:p>
    <w:p>
      <w:pPr>
        <w:spacing w:before="0" w:after="200"/>
        <w:shd w:val="clear" w:fill="F4F6F8"/>
        <w:pBdr>
          <w:bottom w:val="single" w:sz="8" w:space="1" w:color="8A8A8A"/>
        </w:pBdr>
      </w:pPr>
      <w:r>
        <w:rPr>
          <w:b w:val="0"/>
          <w:color w:val="222222"/>
        </w:rPr>
        <w:t>2026-09-20</w:t>
      </w:r>
    </w:p>
    <w:p>
      <w:pPr>
        <w:spacing w:before="40" w:after="0"/>
      </w:pPr>
      <w:r>
        <w:rPr>
          <w:color w:val="5B5B5B"/>
          <w:sz w:val="18"/>
        </w:rPr>
        <w:t>Reviewed by</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Decision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CSSAQ-2026-CLOUDHOST-001</w:t>
      </w:r>
    </w:p>
    <w:p>
      <w:pPr>
        <w:pStyle w:val="973"/>
        <w:outlineLvl w:val="0"/>
      </w:pPr>
      <w:bookmarkStart w:id="18" w:name="_TocRAM013"/>
      <w:bookmarkStart w:id="5" w:name="ref_external_references"/>
      <w:r>
        <w:t>References</w:t>
      </w:r>
      <w:bookmarkEnd w:id="5"/>
      <w:bookmarkEnd w:id="18"/>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Building the ISMS, HR (Human Resources)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HR Security: Screening, Onboarding &amp; Offboarding</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SINV Supplier Inventory (Building the ISMS, Supplier Security &amp; Third-party Risk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7" w:history="1">
        <w:r>
          <w:rPr>
            <w:color w:val="0563C1"/>
            <w:u w:val="single"/>
          </w:rPr>
          <w:t xml:space="preserve">BCP Business Continuity Plan (BCP) (Building the ISMS, Business Continuity &amp; Disaster Recovery)</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Critical Supplier Security Assessment Questionnaire (CSSAQ)</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Supplier Security Assessment Questionnaire</dc:title>
  <dc:subject>Official ExportableProof Companion Artifact CSSAQ</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Form</cp:category>
</cp:coreProperties>
</file>