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5EDD77B7">
      <w:pPr>
        <w:pBdr/>
        <w:spacing/>
        <w:ind/>
        <w:rPr/>
      </w:pPr>
      <w:r>
        <mc:AlternateContent>
          <mc:Choice Requires="wpg">
            <w:drawing>
              <wp:inline xmlns:wp="http://schemas.openxmlformats.org/drawingml/2006/wordprocessingDrawing" distT="0" distB="0" distL="0" distR="0">
                <wp:extent cx="6400800" cy="1600200"/>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84213" name=""/>
                        <pic:cNvPicPr>
                          <a:picLocks noChangeAspect="1"/>
                        </pic:cNvPicPr>
                        <pic:nvPr/>
                      </pic:nvPicPr>
                      <pic:blipFill rotWithShape="1">
                        <a:blip r:embed="rId13"/>
                        <a:stretch/>
                      </pic:blipFill>
                      <pic:spPr bwMode="auto">
                        <a:xfrm>
                          <a:off x="0" y="0"/>
                          <a:ext cx="6400798" cy="16001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504.00pt;height:126.00pt;mso-wrap-distance-left:0.00pt;mso-wrap-distance-top:0.00pt;mso-wrap-distance-right:0.00pt;mso-wrap-distance-bottom:0.00pt;z-index:1;" stroked="false">
                <v:imagedata r:id="rId13" o:title=""/>
                <o:lock v:ext="edit" rotation="t"/>
              </v:shape>
            </w:pict>
          </mc:Fallback>
        </mc:AlternateContent>
      </w:r>
      <w:r/>
    </w:p>
    <w:p w14:paraId="197DA4AB">
      <w:pPr>
        <w:pBdr/>
        <w:spacing/>
        <w:ind/>
        <w:rPr/>
      </w:pPr>
      <w:r/>
      <w:r/>
    </w:p>
    <w:p w14:paraId="0D74E395">
      <w:pPr>
        <w:pBdr/>
        <w:spacing/>
        <w:ind/>
        <w:rPr/>
      </w:pPr>
      <w:r/>
      <w:r/>
    </w:p>
    <w:p>
      <w:pPr>
        <w:pBdr/>
        <w:spacing/>
        <w:ind/>
        <w:rPr/>
      </w:pPr>
      <w:r/>
      <w:r/>
    </w:p>
    <w:p>
      <w:pPr>
        <w:pBdr/>
        <w:spacing/>
        <w:ind/>
        <w:jc w:val="left"/>
        <w:rPr>
          <w:b/>
          <w:bCs/>
          <w:color w:val="1f4e79"/>
          <w:sz w:val="60"/>
          <w:szCs w:val="60"/>
          <w:highlight w:val="none"/>
        </w:rPr>
      </w:pPr>
      <w:r>
        <w:rPr>
          <w:b/>
          <w:color w:val="1f4e79"/>
          <w:sz w:val="60"/>
        </w:rPr>
        <w:t xml:space="preserve">Asset Management Policy</w:t>
      </w:r>
      <w:r>
        <w:rPr>
          <w:b/>
          <w:bCs/>
          <w:color w:val="1f4e79"/>
          <w:sz w:val="60"/>
          <w:szCs w:val="60"/>
          <w:highlight w:val="none"/>
        </w:rPr>
      </w:r>
      <w:r>
        <w:rPr>
          <w:b/>
          <w:bCs/>
          <w:color w:val="1f4e79"/>
          <w:sz w:val="60"/>
          <w:szCs w:val="60"/>
          <w:highlight w:val="none"/>
        </w:rPr>
      </w:r>
    </w:p>
    <w:p w14:paraId="1715952B">
      <w:pPr>
        <w:pBdr/>
        <w:spacing/>
        <w:ind/>
        <w:jc w:val="left"/>
        <w:rPr/>
      </w:pPr>
      <w:r>
        <w:t xml:space="preserve">Official Companion Artifact</w:t>
      </w:r>
      <w:r/>
    </w:p>
    <w:p w14:paraId="5A4A9E3A">
      <w:pPr>
        <w:pBdr/>
        <w:spacing/>
        <w:ind/>
        <w:jc w:val="left"/>
        <w:rPr/>
      </w:pPr>
      <w:r/>
      <w:r/>
    </w:p>
    <w:p>
      <w:pPr>
        <w:pBdr/>
        <w:spacing/>
        <w:ind/>
        <w:rPr>
          <w:highlight w:val="none"/>
        </w:rPr>
      </w:pPr>
      <w:r>
        <w:t xml:space="preserve">This is a fictional Arcfield worked example of ASSET-POL-001. It states operating rules for Asset Management Policy. The cover status is not a real management-team approval and not a certification statement. New numerical and method choices are EXAMPLE_DECISION and pending review. They are not ISO (International Organization for Standardization)/IEC 27001:2022 obligations and not a recovered Artifact Candidate page.</w:t>
      </w:r>
      <w:r>
        <w:rPr>
          <w:highlight w:val="none"/>
        </w:rPr>
      </w:r>
      <w:r>
        <w:rPr>
          <w:highlight w:val="none"/>
        </w:rPr>
      </w:r>
    </w:p>
    <w:tbl>
      <w:tblPr>
        <w:tblStyle w:val="1033"/>
        <w:tblW w:type="dxa" w:w="10080"/>
        <w:jc w:val="left"/>
        <w:tblLayout w:type="fixed"/>
        <w:tblLook w:firstColumn="1" w:firstRow="1" w:lastColumn="0" w:lastRow="0" w:noHBand="0" w:noVBand="1" w:val="04A0"/>
      </w:tblPr>
      <w:tblGrid>
        <w:gridCol w:w="2296"/>
        <w:gridCol w:w="7784"/>
      </w:tblGrid>
      <w:tr>
        <w:trPr>
          <w:tblHeader/>
          <w:cantSplit/>
        </w:trPr>
        <w:tc>
          <w:tcPr>
            <w:tcW w:type="dxa" w:w="2296"/>
            <w:shd w:fill="F7F9FC"/>
          </w:tcPr>
          <w:p>
            <w:r/>
            <w:r>
              <w:rPr>
                <w:b/>
                <w:color w:val="1F6FEB"/>
                <w:sz w:val="18"/>
              </w:rPr>
              <w:t>Field</w:t>
            </w:r>
          </w:p>
        </w:tc>
        <w:tc>
          <w:tcPr>
            <w:tcW w:type="dxa" w:w="7784"/>
            <w:shd w:fill="F7F9FC"/>
          </w:tcPr>
          <w:p>
            <w:r/>
            <w:r>
              <w:rPr>
                <w:b/>
                <w:color w:val="1F6FEB"/>
                <w:sz w:val="18"/>
              </w:rPr>
              <w:t>Value</w:t>
            </w:r>
          </w:p>
        </w:tc>
      </w:tr>
      <w:tr>
        <w:trPr>
          <w:cantSplit/>
        </w:trPr>
        <w:tc>
          <w:tcPr>
            <w:tcW w:type="dxa" w:w="2296"/>
          </w:tcPr>
          <w:p>
            <w:r/>
            <w:r>
              <w:rPr>
                <w:b w:val="0"/>
                <w:color w:val="1F2328"/>
                <w:sz w:val="18"/>
              </w:rPr>
              <w:t>Organization</w:t>
            </w:r>
          </w:p>
        </w:tc>
        <w:tc>
          <w:tcPr>
            <w:tcW w:type="dxa" w:w="7784"/>
          </w:tcPr>
          <w:p>
            <w:r/>
            <w:r>
              <w:rPr>
                <w:b w:val="0"/>
                <w:color w:val="1F2328"/>
                <w:sz w:val="18"/>
              </w:rPr>
              <w:t>Arcfield</w:t>
            </w:r>
          </w:p>
        </w:tc>
      </w:tr>
      <w:tr>
        <w:trPr>
          <w:cantSplit/>
        </w:trPr>
        <w:tc>
          <w:tcPr>
            <w:tcW w:type="dxa" w:w="2296"/>
          </w:tcPr>
          <w:p>
            <w:r/>
            <w:r>
              <w:rPr>
                <w:b w:val="0"/>
                <w:color w:val="1F2328"/>
                <w:sz w:val="18"/>
              </w:rPr>
              <w:t>Version</w:t>
            </w:r>
          </w:p>
        </w:tc>
        <w:tc>
          <w:tcPr>
            <w:tcW w:type="dxa" w:w="7784"/>
          </w:tcPr>
          <w:p>
            <w:r/>
            <w:r>
              <w:rPr>
                <w:b w:val="0"/>
                <w:color w:val="1F2328"/>
                <w:sz w:val="18"/>
              </w:rPr>
              <w:t>1.1</w:t>
            </w:r>
          </w:p>
        </w:tc>
      </w:tr>
      <w:tr>
        <w:trPr>
          <w:cantSplit/>
        </w:trPr>
        <w:tc>
          <w:tcPr>
            <w:tcW w:type="dxa" w:w="2296"/>
          </w:tcPr>
          <w:p>
            <w:r/>
            <w:r>
              <w:rPr>
                <w:b w:val="0"/>
                <w:color w:val="1F2328"/>
                <w:sz w:val="18"/>
              </w:rPr>
              <w:t>Classification</w:t>
            </w:r>
          </w:p>
        </w:tc>
        <w:tc>
          <w:tcPr>
            <w:tcW w:type="dxa" w:w="7784"/>
          </w:tcPr>
          <w:p>
            <w:r/>
            <w:r>
              <w:rPr>
                <w:b w:val="0"/>
                <w:color w:val="1F2328"/>
                <w:sz w:val="18"/>
              </w:rPr>
              <w:t>Internal</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Document Control</w:t>
      </w:r>
    </w:p>
    <w:tbl>
      <w:tblPr>
        <w:tblStyle w:val="1033"/>
        <w:tblW w:w="10080" w:type="dxa"/>
        <w:jc w:val="left"/>
        <w:tblBorders/>
        <w:tblLayout w:type="fixed"/>
        <w:tblLook w:val="04A0" w:firstRow="1" w:lastRow="0" w:firstColumn="1" w:lastColumn="0" w:noHBand="0" w:noVBand="1"/>
      </w:tblPr>
      <w:tblGrid>
        <w:gridCol w:w="2296"/>
        <w:gridCol w:w="7784"/>
      </w:tblGrid>
      <w:tr>
        <w:trPr/>
        <w:tc>
          <w:tcPr>
            <w:tcBorders/>
            <w:tcW w:w="2296" w:type="dxa"/>
            <w:shd w:fill="F7F9FC"/>
          </w:tcPr>
          <w:p>
            <w:pPr>
              <w:pBdr/>
              <w:spacing/>
              <w:ind/>
              <w:rPr/>
            </w:pPr>
            <w:r/>
            <w:r>
              <w:rPr>
                <w:b/>
                <w:color w:val="1F6FEB"/>
                <w:sz w:val="18"/>
              </w:rPr>
              <w:t>Field</w:t>
            </w:r>
          </w:p>
        </w:tc>
        <w:tc>
          <w:tcPr>
            <w:tcBorders/>
            <w:tcW w:w="7784" w:type="dxa"/>
            <w:shd w:fill="F7F9FC"/>
          </w:tcPr>
          <w:p>
            <w:pPr>
              <w:pBdr/>
              <w:spacing/>
              <w:ind/>
              <w:rPr/>
            </w:pPr>
            <w:r/>
            <w:r>
              <w:rPr>
                <w:b/>
                <w:color w:val="1F6FEB"/>
                <w:sz w:val="18"/>
              </w:rPr>
              <w:t>Value</w:t>
            </w:r>
          </w:p>
        </w:tc>
      </w:tr>
      <w:tr>
        <w:trPr/>
        <w:tc>
          <w:tcPr>
            <w:tcBorders/>
            <w:tcW w:w="2296" w:type="dxa"/>
          </w:tcPr>
          <w:p>
            <w:pPr>
              <w:pBdr/>
              <w:spacing/>
              <w:ind/>
              <w:rPr/>
            </w:pPr>
            <w:r/>
            <w:r>
              <w:rPr>
                <w:b w:val="0"/>
                <w:color w:val="1F2328"/>
                <w:sz w:val="18"/>
              </w:rPr>
              <w:t>Organization</w:t>
            </w:r>
          </w:p>
        </w:tc>
        <w:tc>
          <w:tcPr>
            <w:tcBorders/>
            <w:tcW w:w="7784" w:type="dxa"/>
          </w:tcPr>
          <w:p>
            <w:pPr>
              <w:pBdr/>
              <w:spacing/>
              <w:ind/>
              <w:rPr/>
            </w:pPr>
            <w:r/>
            <w:r>
              <w:rPr>
                <w:b w:val="0"/>
                <w:color w:val="1F2328"/>
                <w:sz w:val="18"/>
              </w:rPr>
              <w:t>Arcfield</w:t>
            </w:r>
          </w:p>
        </w:tc>
      </w:tr>
      <w:tr>
        <w:trPr/>
        <w:tc>
          <w:tcPr>
            <w:tcBorders/>
            <w:tcW w:w="2296" w:type="dxa"/>
          </w:tcPr>
          <w:p>
            <w:pPr>
              <w:pBdr/>
              <w:spacing/>
              <w:ind/>
              <w:rPr/>
            </w:pPr>
            <w:r/>
            <w:r>
              <w:rPr>
                <w:b w:val="0"/>
                <w:color w:val="1F2328"/>
                <w:sz w:val="18"/>
              </w:rPr>
              <w:t>Version</w:t>
            </w:r>
          </w:p>
        </w:tc>
        <w:tc>
          <w:tcPr>
            <w:tcBorders/>
            <w:tcW w:w="7784" w:type="dxa"/>
          </w:tcPr>
          <w:p>
            <w:pPr>
              <w:pBdr/>
              <w:spacing/>
              <w:ind/>
              <w:rPr/>
            </w:pPr>
            <w:r/>
            <w:r>
              <w:rPr>
                <w:b w:val="0"/>
                <w:color w:val="1F2328"/>
                <w:sz w:val="18"/>
              </w:rPr>
              <w:t>1.1</w:t>
            </w:r>
          </w:p>
        </w:tc>
      </w:tr>
      <w:tr>
        <w:trPr/>
        <w:tc>
          <w:tcPr>
            <w:tcBorders/>
            <w:tcW w:w="2296" w:type="dxa"/>
          </w:tcPr>
          <w:p>
            <w:pPr>
              <w:pBdr/>
              <w:spacing/>
              <w:ind/>
              <w:rPr/>
            </w:pPr>
            <w:r/>
            <w:r>
              <w:rPr>
                <w:b w:val="0"/>
                <w:color w:val="1F2328"/>
                <w:sz w:val="18"/>
              </w:rPr>
              <w:t>Status</w:t>
            </w:r>
          </w:p>
        </w:tc>
        <w:tc>
          <w:tcPr>
            <w:tcBorders/>
            <w:tcW w:w="7784" w:type="dxa"/>
          </w:tcPr>
          <w:p>
            <w:pPr>
              <w:pBdr/>
              <w:spacing/>
              <w:ind/>
              <w:rPr/>
            </w:pPr>
            <w:r/>
            <w:r>
              <w:rPr>
                <w:b w:val="0"/>
                <w:color w:val="1F2328"/>
                <w:sz w:val="18"/>
              </w:rPr>
              <w:t>Approved</w:t>
            </w:r>
          </w:p>
        </w:tc>
      </w:tr>
      <w:tr>
        <w:trPr/>
        <w:tc>
          <w:tcPr>
            <w:tcBorders/>
            <w:tcW w:w="2296" w:type="dxa"/>
          </w:tcPr>
          <w:p>
            <w:pPr>
              <w:pBdr/>
              <w:spacing/>
              <w:ind/>
              <w:rPr/>
            </w:pPr>
            <w:r/>
            <w:r>
              <w:rPr>
                <w:b w:val="0"/>
                <w:color w:val="1F2328"/>
                <w:sz w:val="18"/>
              </w:rPr>
              <w:t>Owner</w:t>
            </w:r>
          </w:p>
        </w:tc>
        <w:tc>
          <w:tcPr>
            <w:tcBorders/>
            <w:tcW w:w="7784" w:type="dxa"/>
          </w:tcPr>
          <w:p>
            <w:pPr>
              <w:pBdr/>
              <w:spacing/>
              <w:ind/>
              <w:rPr/>
            </w:pPr>
            <w:r/>
            <w:r>
              <w:rPr>
                <w:b w:val="0"/>
                <w:color w:val="1F2328"/>
                <w:sz w:val="18"/>
              </w:rPr>
              <w:t>ISMS Manager</w:t>
            </w:r>
          </w:p>
        </w:tc>
      </w:tr>
      <w:tr>
        <w:trPr/>
        <w:tc>
          <w:tcPr>
            <w:tcBorders/>
            <w:tcW w:w="2296" w:type="dxa"/>
          </w:tcPr>
          <w:p>
            <w:pPr>
              <w:pBdr/>
              <w:spacing/>
              <w:ind/>
              <w:rPr/>
            </w:pPr>
            <w:r/>
            <w:r>
              <w:rPr>
                <w:b w:val="0"/>
                <w:color w:val="1F2328"/>
                <w:sz w:val="18"/>
              </w:rPr>
              <w:t>Approver</w:t>
            </w:r>
          </w:p>
        </w:tc>
        <w:tc>
          <w:tcPr>
            <w:tcBorders/>
            <w:tcW w:w="7784" w:type="dxa"/>
          </w:tcPr>
          <w:p>
            <w:pPr>
              <w:pBdr/>
              <w:spacing/>
              <w:ind/>
              <w:rPr/>
            </w:pPr>
            <w:r/>
            <w:r>
              <w:rPr>
                <w:b w:val="0"/>
                <w:color w:val="1F2328"/>
                <w:sz w:val="18"/>
              </w:rPr>
              <w:t>Top Management</w:t>
            </w:r>
          </w:p>
        </w:tc>
      </w:tr>
      <w:tr>
        <w:trPr/>
        <w:tc>
          <w:tcPr>
            <w:tcBorders/>
            <w:tcW w:w="2296" w:type="dxa"/>
            <w:vMerge w:val="restart"/>
          </w:tcPr>
          <w:p w14:paraId="31D2F00F">
            <w:pPr>
              <w:pBdr/>
              <w:spacing/>
              <w:ind/>
              <w:rPr>
                <w:b/>
              </w:rPr>
            </w:pPr>
            <w:r/>
            <w:r>
              <w:rPr>
                <w:b w:val="0"/>
                <w:color w:val="1F2328"/>
                <w:sz w:val="18"/>
              </w:rPr>
              <w:t>Classification</w:t>
            </w:r>
          </w:p>
        </w:tc>
        <w:tc>
          <w:tcPr>
            <w:tcBorders/>
            <w:tcW w:w="7784" w:type="dxa"/>
            <w:vMerge w:val="restart"/>
          </w:tcPr>
          <w:p w14:paraId="746BB0DF">
            <w:pPr>
              <w:pBdr/>
              <w:spacing/>
              <w:ind/>
              <w:rPr/>
            </w:pPr>
            <w:r/>
            <w:r>
              <w:rPr>
                <w:b w:val="0"/>
                <w:color w:val="1F2328"/>
                <w:sz w:val="18"/>
              </w:rPr>
              <w:t>Internal</w:t>
            </w:r>
          </w:p>
        </w:tc>
      </w:tr>
      <w:tr>
        <w:trPr/>
        <w:tc>
          <w:tcPr>
            <w:tcBorders/>
            <w:tcW w:w="2296" w:type="dxa"/>
            <w:vMerge w:val="restart"/>
          </w:tcPr>
          <w:p w14:paraId="7A2C2A7F">
            <w:pPr>
              <w:pBdr/>
              <w:spacing/>
              <w:ind/>
              <w:rPr>
                <w:b/>
              </w:rPr>
            </w:pPr>
            <w:r/>
            <w:r>
              <w:rPr>
                <w:b w:val="0"/>
                <w:color w:val="1F2328"/>
                <w:sz w:val="18"/>
              </w:rPr>
              <w:t>Effective Date</w:t>
            </w:r>
          </w:p>
        </w:tc>
        <w:tc>
          <w:tcPr>
            <w:tcBorders/>
            <w:tcW w:w="7784" w:type="dxa"/>
            <w:vMerge w:val="restart"/>
          </w:tcPr>
          <w:p w14:paraId="7DB152E7">
            <w:pPr>
              <w:pBdr/>
              <w:spacing/>
              <w:ind/>
              <w:rPr/>
            </w:pPr>
            <w:r/>
            <w:r>
              <w:rPr>
                <w:b w:val="0"/>
                <w:color w:val="1F2328"/>
                <w:sz w:val="18"/>
              </w:rPr>
              <w:t>2026-09-11</w:t>
            </w:r>
          </w:p>
        </w:tc>
      </w:tr>
      <w:tr>
        <w:trPr/>
        <w:tc>
          <w:tcPr>
            <w:tcBorders/>
            <w:tcW w:w="2296" w:type="dxa"/>
            <w:vMerge w:val="restart"/>
          </w:tcPr>
          <w:p w14:paraId="25D44444">
            <w:pPr>
              <w:pBdr/>
              <w:spacing/>
              <w:ind/>
              <w:rPr>
                <w:b/>
              </w:rPr>
            </w:pPr>
            <w:r/>
            <w:r>
              <w:rPr>
                <w:b w:val="0"/>
                <w:color w:val="1F2328"/>
                <w:sz w:val="18"/>
              </w:rPr>
              <w:t>Next Review Date</w:t>
            </w:r>
          </w:p>
        </w:tc>
        <w:tc>
          <w:tcPr>
            <w:tcBorders/>
            <w:tcW w:w="7784" w:type="dxa"/>
            <w:vMerge w:val="restart"/>
          </w:tcPr>
          <w:p w14:paraId="79776442">
            <w:pPr>
              <w:pBdr/>
              <w:spacing/>
              <w:ind/>
              <w:rPr/>
            </w:pPr>
            <w:r/>
            <w:r>
              <w:rPr>
                <w:b w:val="0"/>
                <w:color w:val="1F2328"/>
                <w:sz w:val="18"/>
              </w:rPr>
              <w:t>2027-09-11</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Revision history</w:t>
      </w:r>
    </w:p>
    <w:p>
      <w:r>
        <w:rPr>
          <w:b w:val="0"/>
        </w:rPr>
        <w:t>A published change is a new row. Do not edit an approved version in place.</w:t>
      </w:r>
    </w:p>
    <w:tbl>
      <w:tblPr>
        <w:tblStyle w:val="1033"/>
        <w:tblW w:type="dxa" w:w="10080"/>
        <w:jc w:val="left"/>
        <w:tblLayout w:type="fixed"/>
        <w:tblLook w:firstColumn="1" w:firstRow="1" w:lastColumn="0" w:lastRow="0" w:noHBand="0" w:noVBand="1" w:val="04A0"/>
      </w:tblPr>
      <w:tblGrid>
        <w:gridCol w:w="1288"/>
        <w:gridCol w:w="1720"/>
        <w:gridCol w:w="5352"/>
        <w:gridCol w:w="1720"/>
      </w:tblGrid>
      <w:tr>
        <w:trPr>
          <w:tblHeader/>
          <w:cantSplit/>
        </w:trPr>
        <w:tc>
          <w:tcPr>
            <w:tcW w:type="dxa" w:w="1288"/>
            <w:shd w:fill="F7F9FC"/>
          </w:tcPr>
          <w:p>
            <w:r/>
            <w:r>
              <w:rPr>
                <w:b/>
                <w:color w:val="1F6FEB"/>
                <w:sz w:val="18"/>
              </w:rPr>
              <w:t>Version</w:t>
            </w:r>
          </w:p>
        </w:tc>
        <w:tc>
          <w:tcPr>
            <w:tcW w:type="dxa" w:w="1720"/>
            <w:shd w:fill="F7F9FC"/>
          </w:tcPr>
          <w:p>
            <w:r/>
            <w:r>
              <w:rPr>
                <w:b/>
                <w:color w:val="1F6FEB"/>
                <w:sz w:val="18"/>
              </w:rPr>
              <w:t>Date</w:t>
            </w:r>
          </w:p>
        </w:tc>
        <w:tc>
          <w:tcPr>
            <w:tcW w:type="dxa" w:w="5352"/>
            <w:shd w:fill="F7F9FC"/>
          </w:tcPr>
          <w:p>
            <w:r/>
            <w:r>
              <w:rPr>
                <w:b/>
                <w:color w:val="1F6FEB"/>
                <w:sz w:val="18"/>
              </w:rPr>
              <w:t>Change</w:t>
            </w:r>
          </w:p>
        </w:tc>
        <w:tc>
          <w:tcPr>
            <w:tcW w:type="dxa" w:w="1720"/>
            <w:shd w:fill="F7F9FC"/>
          </w:tcPr>
          <w:p>
            <w:r/>
            <w:r>
              <w:rPr>
                <w:b/>
                <w:color w:val="1F6FEB"/>
                <w:sz w:val="18"/>
              </w:rPr>
              <w:t>Approved by</w:t>
            </w:r>
          </w:p>
        </w:tc>
      </w:tr>
      <w:tr>
        <w:trPr>
          <w:cantSplit/>
        </w:trPr>
        <w:tc>
          <w:tcPr>
            <w:tcW w:type="dxa" w:w="1288"/>
          </w:tcPr>
          <w:p>
            <w:r/>
            <w:r>
              <w:rPr>
                <w:b w:val="0"/>
                <w:color w:val="1F2328"/>
                <w:sz w:val="18"/>
              </w:rPr>
              <w:t>1.0</w:t>
            </w:r>
          </w:p>
        </w:tc>
        <w:tc>
          <w:tcPr>
            <w:tcW w:type="dxa" w:w="1720"/>
          </w:tcPr>
          <w:p>
            <w:r/>
            <w:r>
              <w:rPr>
                <w:b w:val="0"/>
                <w:color w:val="1F2328"/>
                <w:sz w:val="18"/>
              </w:rPr>
              <w:t>2026-08-29</w:t>
            </w:r>
          </w:p>
        </w:tc>
        <w:tc>
          <w:tcPr>
            <w:tcW w:type="dxa" w:w="5352"/>
          </w:tcPr>
          <w:p>
            <w:r/>
            <w:r>
              <w:rPr>
                <w:b w:val="0"/>
                <w:color w:val="1F2328"/>
                <w:sz w:val="18"/>
              </w:rPr>
              <w:t>Initial Arcfield Platform publication.</w:t>
            </w:r>
          </w:p>
        </w:tc>
        <w:tc>
          <w:tcPr>
            <w:tcW w:type="dxa" w:w="1720"/>
          </w:tcPr>
          <w:p>
            <w:r/>
            <w:r>
              <w:rPr>
                <w:b w:val="0"/>
                <w:color w:val="1F2328"/>
                <w:sz w:val="18"/>
              </w:rPr>
              <w:t>Top Management</w:t>
            </w:r>
          </w:p>
        </w:tc>
      </w:tr>
      <w:tr>
        <w:trPr>
          <w:cantSplit/>
        </w:trPr>
        <w:tc>
          <w:tcPr>
            <w:tcW w:type="dxa" w:w="1288"/>
          </w:tcPr>
          <w:p>
            <w:r/>
            <w:r>
              <w:rPr>
                <w:b w:val="0"/>
                <w:color w:val="1F2328"/>
                <w:sz w:val="18"/>
              </w:rPr>
              <w:t>1.1</w:t>
            </w:r>
          </w:p>
        </w:tc>
        <w:tc>
          <w:tcPr>
            <w:tcW w:type="dxa" w:w="1720"/>
          </w:tcPr>
          <w:p>
            <w:r/>
            <w:r>
              <w:rPr>
                <w:b w:val="0"/>
                <w:color w:val="1F2328"/>
                <w:sz w:val="18"/>
              </w:rPr>
              <w:t>2026-09-11</w:t>
            </w:r>
          </w:p>
        </w:tc>
        <w:tc>
          <w:tcPr>
            <w:tcW w:type="dxa" w:w="5352"/>
          </w:tcPr>
          <w:p>
            <w:r/>
            <w:r>
              <w:rPr>
                <w:b w:val="0"/>
                <w:color w:val="1F2328"/>
                <w:sz w:val="18"/>
              </w:rPr>
              <w:t>Approved Arcfield worked example after the 11 September 2026 internal audit.</w:t>
            </w:r>
          </w:p>
        </w:tc>
        <w:tc>
          <w:tcPr>
            <w:tcW w:type="dxa" w:w="1720"/>
          </w:tcPr>
          <w:p>
            <w:r/>
            <w:r>
              <w:rPr>
                <w:b w:val="0"/>
                <w:color w:val="1F2328"/>
                <w:sz w:val="18"/>
              </w:rPr>
              <w:t>Top Management</w:t>
            </w:r>
          </w:p>
        </w:tc>
      </w:tr>
    </w:tbl>
    <w:p>
      <w:pPr>
        <w:spacing w:before="0" w:after="120"/>
      </w:pPr>
    </w:p>
    <w:p w14:paraId="0A20EDB8">
      <w:pPr>
        <w:pBdr/>
        <w:spacing/>
        <w:ind/>
        <w:rPr/>
      </w:pPr>
      <w:r>
        <w:rPr>
          <w:highlight w:val="none"/>
        </w:rPr>
      </w:r>
      <w:r>
        <w:rPr>
          <w:highlight w:val="none"/>
        </w:rPr>
      </w:r>
      <w:r/>
    </w:p>
    <w:p w14:paraId="7F176C86">
      <w:pPr>
        <w:pBdr/>
        <w:spacing/>
        <w:ind/>
        <w:rPr>
          <w:highlight w:val="none"/>
        </w:rPr>
      </w:pPr>
      <w:r>
        <w:rPr>
          <w:highlight w:val="none"/>
        </w:rPr>
      </w:r>
      <w:r>
        <w:rPr>
          <w:highlight w:val="none"/>
        </w:rPr>
      </w:r>
      <w:r>
        <w:rPr>
          <w:highlight w:val="none"/>
        </w:rPr>
      </w:r>
    </w:p>
    <w:p w14:paraId="39C4E518">
      <w:pPr>
        <w:pBdr/>
        <w:spacing/>
        <w:ind/>
        <w:rPr>
          <w:highlight w:val="none"/>
        </w:rPr>
      </w:pPr>
      <w:r>
        <w:rPr>
          <w:highlight w:val="none"/>
        </w:rPr>
      </w:r>
      <w:r>
        <w:rPr>
          <w:highlight w:val="none"/>
        </w:rPr>
      </w:r>
      <w:r>
        <w:rPr>
          <w:highlight w:val="none"/>
        </w:rPr>
      </w:r>
    </w:p>
    <w:p>
      <w:pPr>
        <w:pBdr/>
        <w:spacing/>
        <w:ind/>
        <w:rPr>
          <w:highlight w:val="none"/>
        </w:rPr>
      </w:pPr>
      <w:r>
        <w:br w:type="page" w:clear="all"/>
      </w:r>
      <w:r>
        <w:rPr>
          <w:highlight w:val="none"/>
        </w:rPr>
      </w:r>
      <w:r>
        <w:rPr>
          <w:highlight w:val="none"/>
        </w:rPr>
      </w:r>
    </w:p>
    <w:p>
      <w:pPr>
        <w:pBdr/>
        <w:spacing/>
        <w:ind/>
        <w:rPr>
          <w:rFonts w:ascii="Calibri" w:hAnsi="Calibri" w:eastAsia="Calibri" w:cs="Calibri"/>
          <w:b/>
          <w:bCs/>
          <w:color w:val="376092" w:themeColor="accent1" w:themeShade="BF"/>
          <w:sz w:val="28"/>
          <w:szCs w:val="28"/>
          <w14:ligatures w14:val="none"/>
        </w:rPr>
      </w:pPr>
      <w:r>
        <w:rPr>
          <w:rFonts w:ascii="Calibri" w:hAnsi="Calibri" w:eastAsia="Calibri" w:cs="Calibri"/>
          <w:b/>
          <w:bCs/>
          <w:color w:val="376092" w:themeColor="accent1" w:themeShade="BF"/>
          <w:sz w:val="28"/>
          <w:szCs w:val="28"/>
        </w:rPr>
        <w:t xml:space="preserve">Legal Disclaimer</w:t>
      </w:r>
      <w:r>
        <w:rPr>
          <w:rFonts w:ascii="Calibri" w:hAnsi="Calibri" w:eastAsia="Calibri" w:cs="Calibri"/>
          <w:b/>
          <w:bCs/>
          <w:color w:val="376092" w:themeColor="accent1" w:themeShade="BF"/>
          <w:sz w:val="28"/>
          <w:szCs w:val="28"/>
          <w14:ligatures w14:val="none"/>
        </w:rPr>
      </w:r>
      <w:r>
        <w:rPr>
          <w:rFonts w:ascii="Calibri" w:hAnsi="Calibri" w:eastAsia="Calibri" w:cs="Calibri"/>
          <w:b/>
          <w:bCs/>
          <w:color w:val="376092" w:themeColor="accent1" w:themeShade="BF"/>
          <w:sz w:val="28"/>
          <w:szCs w:val="28"/>
          <w14:ligatures w14:val="none"/>
        </w:rPr>
      </w:r>
    </w:p>
    <w:p>
      <w:pPr>
        <w:pBdr/>
        <w:spacing/>
        <w:ind/>
        <w:rPr/>
      </w:pPr>
      <w:r>
        <w:t xml:space="preserve">This companion artifact is provided for implementation support and does not constitute legal advice. Validate all controls, evidence and records against your organisation, scope, risk context and applicable requirements.</w:t>
      </w:r>
      <w:r/>
    </w:p>
    <w:p>
      <w:pPr>
        <w:pBdr/>
        <w:spacing/>
        <w:ind/>
        <w:rPr/>
      </w:pPr>
      <w:r>
        <w:t xml:space="preserve">© </w:t>
      </w:r>
      <w:r>
        <w:rPr>
          <w:lang w:val="es-ES"/>
        </w:rPr>
        <w:t xml:space="preserve">2026. MessemerTech O</w:t>
      </w:r>
      <w:r>
        <w:rPr>
          <w:lang w:val="es-ES"/>
        </w:rPr>
        <w:t xml:space="preserve">Ü</w:t>
      </w:r>
      <w:r>
        <w:t xml:space="preserve">. ExportableProof is an imprint of MessemerTech. All rights reserved.</w:t>
      </w:r>
      <w:r/>
    </w:p>
    <w:p>
      <w:pPr>
        <w:pBdr/>
        <w:spacing/>
        <w:ind/>
        <w:rPr/>
      </w:pPr>
      <w:r>
        <w:br w:type="page" w:clear="all"/>
      </w:r>
      <w:r/>
    </w:p>
    <w:p>
      <w:pPr>
        <w:pStyle w:val="989"/>
        <w:suppressLineNumbers w:val="false"/>
        <w:pBdr>
          <w:top w:val="none" w:color="000000" w:sz="4" w:space="0"/>
          <w:left w:val="none" w:color="000000" w:sz="4" w:space="0"/>
          <w:bottom w:val="none" w:color="000000" w:sz="8" w:space="0"/>
          <w:right w:val="none" w:color="000000" w:sz="4" w:space="0"/>
          <w:between w:val="none" w:color="000000" w:sz="4" w:space="0"/>
        </w:pBdr>
        <w:spacing/>
        <w:ind/>
        <w:rPr>
          <w:b/>
          <w:bCs/>
          <w:color w:val="376092" w:themeColor="accent1" w:themeShade="BF"/>
          <w:sz w:val="28"/>
          <w:szCs w:val="28"/>
        </w:rPr>
      </w:pPr>
      <w:r>
        <w:rPr>
          <w:b/>
          <w:bCs/>
          <w:color w:val="376092" w:themeColor="accent1" w:themeShade="BF"/>
          <w:sz w:val="28"/>
          <w:szCs w:val="28"/>
        </w:rPr>
        <w:t xml:space="preserve">Table of </w:t>
      </w:r>
      <w:r>
        <w:rPr>
          <w:b/>
          <w:bCs/>
          <w:color w:val="376092" w:themeColor="accent1" w:themeShade="BF"/>
          <w:sz w:val="28"/>
          <w:szCs w:val="28"/>
        </w:rPr>
        <w:t xml:space="preserve">Contents</w:t>
      </w:r>
      <w:r>
        <w:rPr>
          <w:b/>
          <w:bCs/>
          <w:color w:val="376092" w:themeColor="accent1" w:themeShade="BF"/>
          <w:sz w:val="28"/>
          <w:szCs w:val="28"/>
        </w:rPr>
      </w:r>
      <w:r>
        <w:rPr>
          <w:b/>
          <w:bCs/>
          <w:color w:val="376092" w:themeColor="accent1" w:themeShade="BF"/>
          <w:sz w:val="28"/>
          <w:szCs w:val="28"/>
        </w:rPr>
      </w:r>
    </w:p>
    <w:sdt>
      <w:sdtPr>
        <w15:appearance w15:val="boundingBox"/>
        <w:placeholder>
          <w:docPart w:val="DefaultPlaceholder_TEXT"/>
        </w:placeholder>
        <w:docPartObj>
          <w:docPartGallery w:val="Table of Contents"/>
          <w:docPartUnique w:val="true"/>
        </w:docPartObj>
        <w:rPr/>
      </w:sdtPr>
      <w:sdtContent>
        <w:p w14:paraId="550DFED3">
          <w:pPr>
            <w:pStyle w:val="957"/>
            <w:pBdr/>
            <w:tabs>
              <w:tab w:val="right" w:leader="dot" w:pos="10080"/>
            </w:tabs>
            <w:spacing/>
            <w:ind/>
            <w:rPr/>
          </w:pPr>
          <w:r>
            <w:fldChar w:fldCharType="begin"/>
          </w:r>
          <w:r>
            <w:instrText xml:space="preserve">TOC \o "1-9" \h </w:instrText>
          </w:r>
          <w:r>
            <w:fldChar w:fldCharType="separate"/>
          </w:r>
          <w:r/>
          <w:r/>
        </w:p>
        <w:p>
          <w:pPr>
            <w:pStyle w:val="957"/>
            <w:tabs>
              <w:tab w:val="right" w:leader="dot" w:pos="10080"/>
            </w:tabs>
          </w:pPr>
          <w:hyperlink w:anchor="_TocRAM001" w:history="1">
            <w:r>
              <w:rPr>
                <w:rStyle w:val="955"/>
              </w:rPr>
              <w:t xml:space="preserve">Policy</w:t>
            </w:r>
            <w:r>
              <w:tab/>
            </w:r>
            <w:r>
              <w:fldChar w:fldCharType="begin"/>
              <w:instrText xml:space="preserve"> PAGEREF _TocRAM001 \h </w:instrText>
              <w:fldChar w:fldCharType="separate"/>
              <w:t xml:space="preserve"> </w:t>
              <w:fldChar w:fldCharType="end"/>
            </w:r>
          </w:hyperlink>
        </w:p>
        <w:p>
          <w:pPr>
            <w:pStyle w:val="958"/>
            <w:tabs>
              <w:tab w:val="right" w:leader="dot" w:pos="10080"/>
            </w:tabs>
          </w:pPr>
          <w:hyperlink w:anchor="_TocRAM002" w:history="1">
            <w:r>
              <w:rPr>
                <w:rStyle w:val="955"/>
              </w:rPr>
              <w:t xml:space="preserve">What this policy is</w:t>
            </w:r>
            <w:r>
              <w:tab/>
            </w:r>
            <w:r>
              <w:fldChar w:fldCharType="begin"/>
              <w:instrText xml:space="preserve"> PAGEREF _TocRAM002 \h </w:instrText>
              <w:fldChar w:fldCharType="separate"/>
              <w:t xml:space="preserve"> </w:t>
              <w:fldChar w:fldCharType="end"/>
            </w:r>
          </w:hyperlink>
        </w:p>
        <w:p>
          <w:pPr>
            <w:pStyle w:val="958"/>
            <w:tabs>
              <w:tab w:val="right" w:leader="dot" w:pos="10080"/>
            </w:tabs>
          </w:pPr>
          <w:hyperlink w:anchor="_TocRAM003" w:history="1">
            <w:r>
              <w:rPr>
                <w:rStyle w:val="955"/>
              </w:rPr>
              <w:t xml:space="preserve">Scope</w:t>
            </w:r>
            <w:r>
              <w:tab/>
            </w:r>
            <w:r>
              <w:fldChar w:fldCharType="begin"/>
              <w:instrText xml:space="preserve"> PAGEREF _TocRAM003 \h </w:instrText>
              <w:fldChar w:fldCharType="separate"/>
              <w:t xml:space="preserve"> </w:t>
              <w:fldChar w:fldCharType="end"/>
            </w:r>
          </w:hyperlink>
        </w:p>
        <w:p>
          <w:pPr>
            <w:pStyle w:val="958"/>
            <w:tabs>
              <w:tab w:val="right" w:leader="dot" w:pos="10080"/>
            </w:tabs>
          </w:pPr>
          <w:hyperlink w:anchor="_TocRAM004" w:history="1">
            <w:r>
              <w:rPr>
                <w:rStyle w:val="955"/>
              </w:rPr>
              <w:t xml:space="preserve">Terms used here</w:t>
            </w:r>
            <w:r>
              <w:tab/>
            </w:r>
            <w:r>
              <w:fldChar w:fldCharType="begin"/>
              <w:instrText xml:space="preserve"> PAGEREF _TocRAM004 \h </w:instrText>
              <w:fldChar w:fldCharType="separate"/>
              <w:t xml:space="preserve"> </w:t>
              <w:fldChar w:fldCharType="end"/>
            </w:r>
          </w:hyperlink>
        </w:p>
        <w:p>
          <w:pPr>
            <w:pStyle w:val="958"/>
            <w:tabs>
              <w:tab w:val="right" w:leader="dot" w:pos="10080"/>
            </w:tabs>
          </w:pPr>
          <w:hyperlink w:anchor="_TocRAM005" w:history="1">
            <w:r>
              <w:rPr>
                <w:rStyle w:val="955"/>
              </w:rPr>
              <w:t xml:space="preserve">Systems, integrations and data</w:t>
            </w:r>
            <w:r>
              <w:tab/>
            </w:r>
            <w:r>
              <w:fldChar w:fldCharType="begin"/>
              <w:instrText xml:space="preserve"> PAGEREF _TocRAM005 \h </w:instrText>
              <w:fldChar w:fldCharType="separate"/>
              <w:t xml:space="preserve"> </w:t>
              <w:fldChar w:fldCharType="end"/>
            </w:r>
          </w:hyperlink>
        </w:p>
        <w:p>
          <w:pPr>
            <w:pStyle w:val="958"/>
            <w:tabs>
              <w:tab w:val="right" w:leader="dot" w:pos="10080"/>
            </w:tabs>
          </w:pPr>
          <w:hyperlink w:anchor="_TocRAM006" w:history="1">
            <w:r>
              <w:rPr>
                <w:rStyle w:val="955"/>
              </w:rPr>
              <w:t xml:space="preserve">Asset ownership</w:t>
            </w:r>
            <w:r>
              <w:tab/>
            </w:r>
            <w:r>
              <w:fldChar w:fldCharType="begin"/>
              <w:instrText xml:space="preserve"> PAGEREF _TocRAM006 \h </w:instrText>
              <w:fldChar w:fldCharType="separate"/>
              <w:t xml:space="preserve"> </w:t>
              <w:fldChar w:fldCharType="end"/>
            </w:r>
          </w:hyperlink>
        </w:p>
        <w:p>
          <w:pPr>
            <w:pStyle w:val="958"/>
            <w:tabs>
              <w:tab w:val="right" w:leader="dot" w:pos="10080"/>
            </w:tabs>
          </w:pPr>
          <w:hyperlink w:anchor="_TocRAM007" w:history="1">
            <w:r>
              <w:rPr>
                <w:rStyle w:val="955"/>
              </w:rPr>
              <w:t xml:space="preserve">Inventory</w:t>
            </w:r>
            <w:r>
              <w:tab/>
            </w:r>
            <w:r>
              <w:fldChar w:fldCharType="begin"/>
              <w:instrText xml:space="preserve"> PAGEREF _TocRAM007 \h </w:instrText>
              <w:fldChar w:fldCharType="separate"/>
              <w:t xml:space="preserve"> </w:t>
              <w:fldChar w:fldCharType="end"/>
            </w:r>
          </w:hyperlink>
        </w:p>
        <w:p>
          <w:pPr>
            <w:pStyle w:val="958"/>
            <w:tabs>
              <w:tab w:val="right" w:leader="dot" w:pos="10080"/>
            </w:tabs>
          </w:pPr>
          <w:hyperlink w:anchor="_TocRAM008" w:history="1">
            <w:r>
              <w:rPr>
                <w:rStyle w:val="955"/>
              </w:rPr>
              <w:t xml:space="preserve">Classification and handling</w:t>
            </w:r>
            <w:r>
              <w:tab/>
            </w:r>
            <w:r>
              <w:fldChar w:fldCharType="begin"/>
              <w:instrText xml:space="preserve"> PAGEREF _TocRAM008 \h </w:instrText>
              <w:fldChar w:fldCharType="separate"/>
              <w:t xml:space="preserve"> </w:t>
              <w:fldChar w:fldCharType="end"/>
            </w:r>
          </w:hyperlink>
        </w:p>
        <w:p>
          <w:pPr>
            <w:pStyle w:val="958"/>
            <w:tabs>
              <w:tab w:val="right" w:leader="dot" w:pos="10080"/>
            </w:tabs>
          </w:pPr>
          <w:hyperlink w:anchor="_TocRAM009" w:history="1">
            <w:r>
              <w:rPr>
                <w:rStyle w:val="955"/>
              </w:rPr>
              <w:t xml:space="preserve">Lifecycle control</w:t>
            </w:r>
            <w:r>
              <w:tab/>
            </w:r>
            <w:r>
              <w:fldChar w:fldCharType="begin"/>
              <w:instrText xml:space="preserve"> PAGEREF _TocRAM009 \h </w:instrText>
              <w:fldChar w:fldCharType="separate"/>
              <w:t xml:space="preserve"> </w:t>
              <w:fldChar w:fldCharType="end"/>
            </w:r>
          </w:hyperlink>
        </w:p>
        <w:p>
          <w:pPr>
            <w:pStyle w:val="958"/>
            <w:tabs>
              <w:tab w:val="right" w:leader="dot" w:pos="10080"/>
            </w:tabs>
          </w:pPr>
          <w:hyperlink w:anchor="_TocRAM010" w:history="1">
            <w:r>
              <w:rPr>
                <w:rStyle w:val="955"/>
              </w:rPr>
              <w:t xml:space="preserve">Supplier and cloud assets</w:t>
            </w:r>
            <w:r>
              <w:tab/>
            </w:r>
            <w:r>
              <w:fldChar w:fldCharType="begin"/>
              <w:instrText xml:space="preserve"> PAGEREF _TocRAM010 \h </w:instrText>
              <w:fldChar w:fldCharType="separate"/>
              <w:t xml:space="preserve"> </w:t>
              <w:fldChar w:fldCharType="end"/>
            </w:r>
          </w:hyperlink>
        </w:p>
        <w:p>
          <w:pPr>
            <w:pStyle w:val="958"/>
            <w:tabs>
              <w:tab w:val="right" w:leader="dot" w:pos="10080"/>
            </w:tabs>
          </w:pPr>
          <w:hyperlink w:anchor="_TocRAM011" w:history="1">
            <w:r>
              <w:rPr>
                <w:rStyle w:val="955"/>
              </w:rPr>
              <w:t xml:space="preserve">Evidence expectations</w:t>
            </w:r>
            <w:r>
              <w:tab/>
            </w:r>
            <w:r>
              <w:fldChar w:fldCharType="begin"/>
              <w:instrText xml:space="preserve"> PAGEREF _TocRAM011 \h </w:instrText>
              <w:fldChar w:fldCharType="separate"/>
              <w:t xml:space="preserve"> </w:t>
              <w:fldChar w:fldCharType="end"/>
            </w:r>
          </w:hyperlink>
        </w:p>
        <w:p>
          <w:pPr>
            <w:pStyle w:val="957"/>
            <w:tabs>
              <w:tab w:val="right" w:leader="dot" w:pos="10080"/>
            </w:tabs>
          </w:pPr>
          <w:hyperlink w:anchor="_TocRAM012" w:history="1">
            <w:r>
              <w:rPr>
                <w:rStyle w:val="955"/>
              </w:rPr>
              <w:t xml:space="preserve">Evidence and records</w:t>
            </w:r>
            <w:r>
              <w:tab/>
            </w:r>
            <w:r>
              <w:fldChar w:fldCharType="begin"/>
              <w:instrText xml:space="preserve"> PAGEREF _TocRAM012 \h </w:instrText>
              <w:fldChar w:fldCharType="separate"/>
              <w:t xml:space="preserve"> </w:t>
              <w:fldChar w:fldCharType="end"/>
            </w:r>
          </w:hyperlink>
        </w:p>
        <w:p>
          <w:pPr>
            <w:pStyle w:val="957"/>
            <w:tabs>
              <w:tab w:val="right" w:leader="dot" w:pos="10080"/>
            </w:tabs>
          </w:pPr>
          <w:hyperlink w:anchor="_TocRAM013" w:history="1">
            <w:r>
              <w:rPr>
                <w:rStyle w:val="955"/>
              </w:rPr>
              <w:t xml:space="preserve">References</w:t>
            </w:r>
            <w:r>
              <w:tab/>
            </w:r>
            <w:r>
              <w:fldChar w:fldCharType="begin"/>
              <w:instrText xml:space="preserve"> PAGEREF _TocRAM013 \h </w:instrText>
              <w:fldChar w:fldCharType="separate"/>
              <w:t xml:space="preserve"> </w:t>
              <w:fldChar w:fldCharType="end"/>
            </w:r>
          </w:hyperlink>
        </w:p>
        <w:p>
          <w:pPr>
            <w:pStyle w:val="958"/>
            <w:tabs>
              <w:tab w:val="right" w:leader="dot" w:pos="10080"/>
            </w:tabs>
          </w:pPr>
          <w:hyperlink w:anchor="_TocRAM014" w:history="1">
            <w:r>
              <w:rPr>
                <w:rStyle w:val="955"/>
              </w:rPr>
              <w:t xml:space="preserve">Linked documents</w:t>
            </w:r>
            <w:r>
              <w:tab/>
            </w:r>
            <w:r>
              <w:fldChar w:fldCharType="begin"/>
              <w:instrText xml:space="preserve"> PAGEREF _TocRAM014 \h </w:instrText>
              <w:fldChar w:fldCharType="separate"/>
              <w:t xml:space="preserve"> </w:t>
              <w:fldChar w:fldCharType="end"/>
            </w:r>
          </w:hyperlink>
        </w:p>
        <w:p>
          <w:pPr>
            <w:pStyle w:val="958"/>
            <w:tabs>
              <w:tab w:val="right" w:leader="dot" w:pos="10080"/>
            </w:tabs>
          </w:pPr>
          <w:hyperlink w:anchor="_TocRAM015" w:history="1">
            <w:r>
              <w:rPr>
                <w:rStyle w:val="955"/>
              </w:rPr>
              <w:t xml:space="preserve">External references</w:t>
            </w:r>
            <w:r>
              <w:tab/>
            </w:r>
            <w:r>
              <w:fldChar w:fldCharType="begin"/>
              <w:instrText xml:space="preserve"> PAGEREF _TocRAM015 \h </w:instrText>
              <w:fldChar w:fldCharType="separate"/>
              <w:t xml:space="preserve"> </w:t>
              <w:fldChar w:fldCharType="end"/>
            </w:r>
          </w:hyperlink>
        </w:p>
        <w:p w14:paraId="2B72CC78">
          <w:pPr>
            <w:pBdr/>
            <w:spacing/>
            <w:ind/>
            <w:rPr/>
          </w:pPr>
          <w:r>
            <w:fldChar w:fldCharType="end"/>
          </w:r>
          <w:r/>
        </w:p>
      </w:sdtContent>
    </w:sdt>
    <w:p>
      <w:r>
        <w:br w:type="page"/>
      </w:r>
    </w:p>
    <w:p>
      <w:pPr>
        <w:keepNext w:val="true"/>
        <w:keepLines w:val="true"/>
        <w:pBdr/>
        <w:spacing w:after="0" w:before="480"/>
        <w:ind/>
        <w:outlineLvl w:val="9"/>
      </w:pPr>
      <w:bookmarkStart w:id="1" w:name="ref_instructions"/>
      <w:r>
        <w:rPr>
          <w:rFonts w:asciiTheme="majorHAnsi" w:hAnsiTheme="majorHAnsi" w:eastAsiaTheme="majorEastAsia" w:cstheme="majorBidi"/>
          <w:b/>
          <w:bCs/>
          <w:color w:val="365f91" w:themeColor="accent1" w:themeShade="BF"/>
          <w:sz w:val="28"/>
          <w:szCs w:val="28"/>
        </w:rPr>
        <w:t>Instructions</w:t>
      </w:r>
      <w:bookmarkEnd w:id="1"/>
    </w:p>
    <w:p>
      <w:r>
        <w:rPr>
          <w:b w:val="0"/>
        </w:rPr>
        <w:t>This file is a fictional Arcfield example, not your organization's approved policy. Copy this file as the controlled Word master for your ISMS (Information Security Management System) only after you replace Arcfield decisions with your own.</w:t>
      </w:r>
    </w:p>
    <w:p>
      <w:pPr>
        <w:pStyle w:val="1006"/>
        <w:ind w:left="360" w:hanging="259"/>
        <w:numPr>
          <w:ilvl w:val="0"/>
          <w:numId w:val="10"/>
        </w:numPr>
      </w:pPr>
      <w:r>
        <w:rPr>
          <w:b w:val="0"/>
        </w:rPr>
        <w:t>Treat ASSET-POL-001 and the rule IDs as the example identity. Cover status Approved is the Arcfield scenario freeze, not a real management-team sign-off of these new rule sentences.</w:t>
      </w:r>
    </w:p>
    <w:p>
      <w:pPr>
        <w:pStyle w:val="1006"/>
        <w:ind w:left="360" w:hanging="259"/>
        <w:numPr>
          <w:ilvl w:val="0"/>
          <w:numId w:val="10"/>
        </w:numPr>
      </w:pPr>
      <w:r>
        <w:rPr>
          <w:b w:val="0"/>
        </w:rPr>
        <w:t>Replace Arcfield names, methods and owners before you adopt the file.</w:t>
      </w:r>
    </w:p>
    <w:p>
      <w:pPr>
        <w:pStyle w:val="1006"/>
        <w:ind w:left="360" w:hanging="259"/>
        <w:numPr>
          <w:ilvl w:val="0"/>
          <w:numId w:val="10"/>
        </w:numPr>
      </w:pPr>
      <w:r>
        <w:rPr>
          <w:b w:val="0"/>
        </w:rPr>
        <w:t>Cite the Document Control version from related records. Do not copy this body into those records.</w:t>
      </w:r>
    </w:p>
    <w:p>
      <w:pPr>
        <w:spacing w:after="0"/>
      </w:pPr>
    </w:p>
    <w:tbl>
      <w:tblPr>
        <w:tblStyle w:val="1033"/>
        <w:tblW w:type="auto" w:w="0"/>
        <w:tblLook w:firstColumn="1" w:firstRow="1" w:lastColumn="0" w:lastRow="0" w:noHBand="0" w:noVBand="1" w:val="04A0"/>
      </w:tblPr>
      <w:tblGrid>
        <w:gridCol w:w="10080"/>
      </w:tblGrid>
      <w:tr>
        <w:tc>
          <w:tcPr>
            <w:tcW w:type="dxa" w:w="10080"/>
            <w:shd w:fill="EAF3FF"/>
            <w:tcBorders>
              <w:top w:val="single" w:sz="8" w:space="0" w:color="8CB4FF"/>
              <w:left w:val="single" w:sz="8" w:space="0" w:color="8CB4FF"/>
              <w:bottom w:val="single" w:sz="8" w:space="0" w:color="8CB4FF"/>
              <w:right w:val="single" w:sz="8" w:space="0" w:color="8CB4FF"/>
            </w:tcBorders>
          </w:tcPr>
          <w:p>
            <w:pPr>
              <w:spacing w:before="80" w:after="80"/>
              <w:jc w:val="left"/>
            </w:pPr>
            <w:r>
              <w:rPr>
                <w:b w:val="0"/>
              </w:rPr>
              <w:t>Hint: Apply Instructions with named owners, systems and exportable evidence. Do not leave this chapter as a heading plus a bare table.</w:t>
              <w:br/>
              <w:br/>
              <w:t>Book reference: Implementation &amp; Certification, Asset Management &amp; Information Classification</w:t>
            </w:r>
          </w:p>
        </w:tc>
      </w:tr>
    </w:tbl>
    <w:p>
      <w:r>
        <w:br w:type="page"/>
      </w:r>
    </w:p>
    <w:p>
      <w:pPr>
        <w:pStyle w:val="973"/>
        <w:outlineLvl w:val="0"/>
      </w:pPr>
      <w:bookmarkStart w:id="5" w:name="_TocRAM001"/>
      <w:bookmarkStart w:id="2" w:name="ref_policy_content"/>
      <w:r>
        <w:t>Policy</w:t>
      </w:r>
      <w:bookmarkEnd w:id="2"/>
      <w:bookmarkEnd w:id="5"/>
    </w:p>
    <w:p>
      <w:pPr>
        <w:pStyle w:val="974"/>
        <w:outlineLvl w:val="1"/>
      </w:pPr>
      <w:bookmarkStart w:id="6" w:name="_TocRAM002"/>
      <w:r>
        <w:t>What this policy is</w:t>
      </w:r>
      <w:bookmarkEnd w:id="6"/>
    </w:p>
    <w:p>
      <w:r>
        <w:rPr>
          <w:b w:val="0"/>
        </w:rPr>
        <w:t>This document is Arcfield's Asset Management Policy, document ID ASSET-POL-001. It binds how Arcfield identifies, owns, classifies, protects, transfers and retires information and technology assets for the Arcfield Platform. It is not the ISMS Scope Statement, the Risk Assessment Methodology or the Statement of Applicability. It applies to Arcfield Platform production, customer data, CI/CD (Continuous Integration / Continuous Delivery), privileged access and critical suppliers. Neighbouring records cite this Document Control version. Do not copy these paragraphs into those records.</w:t>
      </w:r>
    </w:p>
    <w:p>
      <w:pPr>
        <w:pStyle w:val="974"/>
        <w:outlineLvl w:val="1"/>
      </w:pPr>
      <w:bookmarkStart w:id="7" w:name="_TocRAM003"/>
      <w:r>
        <w:t>Scope</w:t>
      </w:r>
      <w:bookmarkEnd w:id="7"/>
    </w:p>
    <w:p>
      <w:r>
        <w:rPr>
          <w:b w:val="0"/>
        </w:rPr>
        <w:t>Use this table before you copy a rule into another record or exclude a duty from this file.</w:t>
      </w:r>
    </w:p>
    <w:tbl>
      <w:tblPr>
        <w:tblStyle w:val="1033"/>
        <w:tblW w:type="dxa" w:w="10080"/>
        <w:jc w:val="left"/>
        <w:tblLayout w:type="fixed"/>
        <w:tblLook w:firstColumn="1" w:firstRow="1" w:lastColumn="0" w:lastRow="0" w:noHBand="0" w:noVBand="1" w:val="04A0"/>
      </w:tblPr>
      <w:tblGrid>
        <w:gridCol w:w="7056"/>
        <w:gridCol w:w="3024"/>
      </w:tblGrid>
      <w:tr>
        <w:trPr>
          <w:tblHeader/>
          <w:cantSplit/>
        </w:trPr>
        <w:tc>
          <w:tcPr>
            <w:tcW w:type="dxa" w:w="7056"/>
            <w:shd w:fill="F7F9FC"/>
          </w:tcPr>
          <w:p>
            <w:r/>
            <w:r>
              <w:rPr>
                <w:b/>
                <w:color w:val="1F6FEB"/>
                <w:sz w:val="18"/>
              </w:rPr>
              <w:t>In this policy</w:t>
            </w:r>
          </w:p>
        </w:tc>
        <w:tc>
          <w:tcPr>
            <w:tcW w:type="dxa" w:w="3024"/>
            <w:shd w:fill="F7F9FC"/>
          </w:tcPr>
          <w:p>
            <w:r/>
            <w:r>
              <w:rPr>
                <w:b/>
                <w:color w:val="1F6FEB"/>
                <w:sz w:val="18"/>
              </w:rPr>
              <w:t>Not in this policy</w:t>
            </w:r>
          </w:p>
        </w:tc>
      </w:tr>
      <w:tr>
        <w:trPr>
          <w:cantSplit/>
        </w:trPr>
        <w:tc>
          <w:tcPr>
            <w:tcW w:type="dxa" w:w="7056"/>
          </w:tcPr>
          <w:p>
            <w:r/>
            <w:r>
              <w:rPr>
                <w:b w:val="0"/>
                <w:color w:val="1F2328"/>
                <w:sz w:val="18"/>
              </w:rPr>
              <w:t>The classified rules AMP-OWN-001, AMP-INV-001, AMP-CLS-001 through AMP-EV-001, roles, the worked Arcfield example and the records this file owns.</w:t>
            </w:r>
          </w:p>
        </w:tc>
        <w:tc>
          <w:tcPr>
            <w:tcW w:type="dxa" w:w="3024"/>
          </w:tcPr>
          <w:p>
            <w:r/>
            <w:r>
              <w:rPr>
                <w:b w:val="0"/>
                <w:color w:val="1F2328"/>
                <w:sz w:val="18"/>
              </w:rPr>
              <w:t>The ISMS boundary (ISS), Annex A selection (SoA), or live neighbouring registers. Those files keep their own versions.</w:t>
            </w:r>
          </w:p>
        </w:tc>
      </w:tr>
      <w:tr>
        <w:trPr>
          <w:cantSplit/>
        </w:trPr>
        <w:tc>
          <w:tcPr>
            <w:tcW w:type="dxa" w:w="7056"/>
          </w:tcPr>
          <w:p>
            <w:r/>
            <w:r>
              <w:rPr>
                <w:b w:val="0"/>
                <w:color w:val="1F2328"/>
                <w:sz w:val="18"/>
              </w:rPr>
              <w:t>Interfaces that must cite this Document Control version, including CI/CD, identity and suppliers where they affect confidentiality, integrity or availability.</w:t>
            </w:r>
          </w:p>
        </w:tc>
        <w:tc>
          <w:tcPr>
            <w:tcW w:type="dxa" w:w="3024"/>
          </w:tcPr>
          <w:p>
            <w:r/>
            <w:r>
              <w:rPr>
                <w:b w:val="0"/>
                <w:color w:val="1F2328"/>
                <w:sz w:val="18"/>
              </w:rPr>
              <w:t>Live ISS or SoA decisions. Neighbouring live registers keep their own versions. Those files are named, not copied here.</w:t>
            </w:r>
          </w:p>
        </w:tc>
      </w:tr>
    </w:tbl>
    <w:p>
      <w:pPr>
        <w:spacing w:before="0" w:after="120"/>
      </w:pPr>
    </w:p>
    <w:p>
      <w:pPr>
        <w:pStyle w:val="974"/>
        <w:outlineLvl w:val="1"/>
      </w:pPr>
      <w:bookmarkStart w:id="8" w:name="_TocRAM004"/>
      <w:r>
        <w:t>Terms used here</w:t>
      </w:r>
      <w:bookmarkEnd w:id="8"/>
    </w:p>
    <w:p>
      <w:r>
        <w:rPr>
          <w:b w:val="0"/>
        </w:rPr>
        <w:t>These terms are local to this file. Expand every acronym on first use in the body. Artefact ID ISO is Information Security Objectives, not the International Organization for Standardization.</w:t>
      </w:r>
    </w:p>
    <w:tbl>
      <w:tblPr>
        <w:tblStyle w:val="1033"/>
        <w:tblW w:type="dxa" w:w="10080"/>
        <w:jc w:val="left"/>
        <w:tblLayout w:type="fixed"/>
        <w:tblLook w:firstColumn="1" w:firstRow="1" w:lastColumn="0" w:lastRow="0" w:noHBand="0" w:noVBand="1" w:val="04A0"/>
      </w:tblPr>
      <w:tblGrid>
        <w:gridCol w:w="2840"/>
        <w:gridCol w:w="7240"/>
      </w:tblGrid>
      <w:tr>
        <w:trPr>
          <w:tblHeader/>
          <w:cantSplit/>
        </w:trPr>
        <w:tc>
          <w:tcPr>
            <w:tcW w:type="dxa" w:w="2840"/>
            <w:shd w:fill="F7F9FC"/>
          </w:tcPr>
          <w:p>
            <w:r/>
            <w:r>
              <w:rPr>
                <w:b/>
                <w:color w:val="1F6FEB"/>
                <w:sz w:val="18"/>
              </w:rPr>
              <w:t>Term</w:t>
            </w:r>
          </w:p>
        </w:tc>
        <w:tc>
          <w:tcPr>
            <w:tcW w:type="dxa" w:w="7240"/>
            <w:shd w:fill="F7F9FC"/>
          </w:tcPr>
          <w:p>
            <w:r/>
            <w:r>
              <w:rPr>
                <w:b/>
                <w:color w:val="1F6FEB"/>
                <w:sz w:val="18"/>
              </w:rPr>
              <w:t>Meaning</w:t>
            </w:r>
          </w:p>
        </w:tc>
      </w:tr>
      <w:tr>
        <w:trPr>
          <w:cantSplit/>
        </w:trPr>
        <w:tc>
          <w:tcPr>
            <w:tcW w:type="dxa" w:w="2840"/>
          </w:tcPr>
          <w:p>
            <w:r/>
            <w:r>
              <w:rPr>
                <w:b w:val="0"/>
                <w:color w:val="1F2328"/>
                <w:sz w:val="18"/>
              </w:rPr>
              <w:t>Owner</w:t>
            </w:r>
          </w:p>
        </w:tc>
        <w:tc>
          <w:tcPr>
            <w:tcW w:type="dxa" w:w="7240"/>
          </w:tcPr>
          <w:p>
            <w:r/>
            <w:r>
              <w:rPr>
                <w:b w:val="0"/>
                <w:color w:val="1F2328"/>
                <w:sz w:val="18"/>
              </w:rPr>
              <w:t>The named role that can be called in an audit for an outcome. A team name is not an owner.</w:t>
            </w:r>
          </w:p>
        </w:tc>
      </w:tr>
      <w:tr>
        <w:trPr>
          <w:cantSplit/>
        </w:trPr>
        <w:tc>
          <w:tcPr>
            <w:tcW w:type="dxa" w:w="2840"/>
          </w:tcPr>
          <w:p>
            <w:r/>
            <w:r>
              <w:rPr>
                <w:b w:val="0"/>
                <w:color w:val="1F2328"/>
                <w:sz w:val="18"/>
              </w:rPr>
              <w:t>Exception</w:t>
            </w:r>
          </w:p>
        </w:tc>
        <w:tc>
          <w:tcPr>
            <w:tcW w:type="dxa" w:w="7240"/>
          </w:tcPr>
          <w:p>
            <w:r/>
            <w:r>
              <w:rPr>
                <w:b w:val="0"/>
                <w:color w:val="1F2328"/>
                <w:sz w:val="18"/>
              </w:rPr>
              <w:t>A time-bound, approved departure with expiry and a compensating control. An expired row does not authorise continued deviation.</w:t>
            </w:r>
          </w:p>
        </w:tc>
      </w:tr>
      <w:tr>
        <w:trPr>
          <w:cantSplit/>
        </w:trPr>
        <w:tc>
          <w:tcPr>
            <w:tcW w:type="dxa" w:w="2840"/>
          </w:tcPr>
          <w:p>
            <w:r/>
            <w:r>
              <w:rPr>
                <w:b w:val="0"/>
                <w:color w:val="1F2328"/>
                <w:sz w:val="18"/>
              </w:rPr>
              <w:t>Document Control version</w:t>
            </w:r>
          </w:p>
        </w:tc>
        <w:tc>
          <w:tcPr>
            <w:tcW w:type="dxa" w:w="7240"/>
          </w:tcPr>
          <w:p>
            <w:r/>
            <w:r>
              <w:rPr>
                <w:b w:val="0"/>
                <w:color w:val="1F2328"/>
                <w:sz w:val="18"/>
              </w:rPr>
              <w:t>The version cited from neighbouring records. Do not copy this body into those records.</w:t>
            </w:r>
          </w:p>
        </w:tc>
      </w:tr>
      <w:tr>
        <w:trPr>
          <w:cantSplit/>
        </w:trPr>
        <w:tc>
          <w:tcPr>
            <w:tcW w:type="dxa" w:w="2840"/>
          </w:tcPr>
          <w:p>
            <w:r/>
            <w:r>
              <w:rPr>
                <w:b w:val="0"/>
                <w:color w:val="1F2328"/>
                <w:sz w:val="18"/>
              </w:rPr>
              <w:t>Enforcement</w:t>
            </w:r>
          </w:p>
        </w:tc>
        <w:tc>
          <w:tcPr>
            <w:tcW w:type="dxa" w:w="7240"/>
          </w:tcPr>
          <w:p>
            <w:r/>
            <w:r>
              <w:rPr>
                <w:b w:val="0"/>
                <w:color w:val="1F2328"/>
                <w:sz w:val="18"/>
              </w:rPr>
              <w:t>The named system rejects the unauthorised attempt for the named population. Registration or capability is not enforcement.</w:t>
            </w:r>
          </w:p>
        </w:tc>
      </w:tr>
    </w:tbl>
    <w:p>
      <w:pPr>
        <w:spacing w:before="0" w:after="120"/>
      </w:pPr>
    </w:p>
    <w:p>
      <w:pPr>
        <w:pStyle w:val="974"/>
        <w:outlineLvl w:val="1"/>
      </w:pPr>
      <w:bookmarkStart w:id="9" w:name="_TocRAM005"/>
      <w:r>
        <w:t>Systems, integrations and data</w:t>
      </w:r>
      <w:bookmarkEnd w:id="9"/>
    </w:p>
    <w:p>
      <w:r>
        <w:rPr>
          <w:b w:val="0"/>
        </w:rPr>
        <w:t>Related inventories live in the companion documents named below. Cite the approved version. Do not copy their content. Availability follows the book pack, not this sentence.</w:t>
      </w:r>
    </w:p>
    <w:p>
      <w:pPr>
        <w:pStyle w:val="1006"/>
        <w:ind w:left="360" w:hanging="259"/>
        <w:numPr>
          <w:ilvl w:val="0"/>
          <w:numId w:val="11"/>
        </w:numPr>
      </w:pPr>
      <w:hyperlink r:id="rId16" w:history="1">
        <w:r>
          <w:rPr>
            <w:color w:val="0563C1"/>
            <w:u w:val="single"/>
          </w:rPr>
          <w:t xml:space="preserve">Asset Inventory</w:t>
        </w:r>
      </w:hyperlink>
      <w:r>
        <w:rPr>
          <w:b w:val="0"/>
        </w:rPr>
        <w:t xml:space="preserve"> — In-scope assets with owner, classification, hosting, personal-data flag and related risk.</w:t>
      </w:r>
    </w:p>
    <w:p>
      <w:pPr>
        <w:pStyle w:val="1006"/>
        <w:ind w:left="360" w:hanging="259"/>
        <w:numPr>
          <w:ilvl w:val="0"/>
          <w:numId w:val="11"/>
        </w:numPr>
      </w:pPr>
      <w:hyperlink r:id="rId17" w:history="1">
        <w:r>
          <w:rPr>
            <w:color w:val="0563C1"/>
            <w:u w:val="single"/>
          </w:rPr>
          <w:t xml:space="preserve">Supplier Inventory</w:t>
        </w:r>
      </w:hyperlink>
      <w:r>
        <w:rPr>
          <w:b w:val="0"/>
        </w:rPr>
        <w:t xml:space="preserve"> — Security-relevant suppliers with tier, due diligence, contract controls, subprocessors and exit planning.</w:t>
      </w:r>
    </w:p>
    <w:p>
      <w:pPr>
        <w:pStyle w:val="1006"/>
        <w:ind w:left="360" w:hanging="259"/>
        <w:numPr>
          <w:ilvl w:val="0"/>
          <w:numId w:val="11"/>
        </w:numPr>
      </w:pPr>
      <w:hyperlink r:id="rId18" w:history="1">
        <w:r>
          <w:rPr>
            <w:color w:val="0563C1"/>
            <w:u w:val="single"/>
          </w:rPr>
          <w:t xml:space="preserve">Users and Access Inventory</w:t>
        </w:r>
      </w:hyperlink>
      <w:r>
        <w:rPr>
          <w:b w:val="0"/>
        </w:rPr>
        <w:t xml:space="preserve"> — Users and accounts with access rights, privileged access, MFA status, reviews and revocations.</w:t>
      </w:r>
    </w:p>
    <w:p>
      <w:pPr>
        <w:pStyle w:val="974"/>
        <w:outlineLvl w:val="1"/>
      </w:pPr>
      <w:bookmarkStart w:id="10" w:name="_TocRAM006"/>
      <w:r>
        <w:t>Asset ownership</w:t>
      </w:r>
      <w:bookmarkEnd w:id="10"/>
    </w:p>
    <w:p>
      <w:r>
        <w:rPr>
          <w:b w:val="0"/>
        </w:rPr>
        <w:t>Read AMP-OWN-001 as the classified Arcfield rule for this topic. Capability or presence is not enforcement.</w:t>
      </w:r>
    </w:p>
    <w:tbl>
      <w:tblPr>
        <w:tblStyle w:val="1033"/>
        <w:tblW w:type="dxa" w:w="10080"/>
        <w:jc w:val="left"/>
        <w:tblLayout w:type="fixed"/>
        <w:tblLook w:firstColumn="1" w:firstRow="1" w:lastColumn="0" w:lastRow="0" w:noHBand="0" w:noVBand="1" w:val="04A0"/>
      </w:tblPr>
      <w:tblGrid>
        <w:gridCol w:w="1864"/>
        <w:gridCol w:w="1720"/>
        <w:gridCol w:w="3164"/>
        <w:gridCol w:w="1468"/>
        <w:gridCol w:w="1864"/>
      </w:tblGrid>
      <w:tr>
        <w:trPr>
          <w:tblHeader/>
          <w:cantSplit/>
        </w:trPr>
        <w:tc>
          <w:tcPr>
            <w:tcW w:type="dxa" w:w="1864"/>
            <w:shd w:fill="F7F9FC"/>
          </w:tcPr>
          <w:p>
            <w:r/>
            <w:r>
              <w:rPr>
                <w:b/>
                <w:color w:val="1F6FEB"/>
                <w:sz w:val="18"/>
              </w:rPr>
              <w:t>Rule ID</w:t>
            </w:r>
          </w:p>
        </w:tc>
        <w:tc>
          <w:tcPr>
            <w:tcW w:type="dxa" w:w="1720"/>
            <w:shd w:fill="F7F9FC"/>
          </w:tcPr>
          <w:p>
            <w:r/>
            <w:r>
              <w:rPr>
                <w:b/>
                <w:color w:val="1F6FEB"/>
                <w:sz w:val="18"/>
              </w:rPr>
              <w:t>Statement</w:t>
            </w:r>
          </w:p>
        </w:tc>
        <w:tc>
          <w:tcPr>
            <w:tcW w:type="dxa" w:w="3164"/>
            <w:shd w:fill="F7F9FC"/>
          </w:tcPr>
          <w:p>
            <w:r/>
            <w:r>
              <w:rPr>
                <w:b/>
                <w:color w:val="1F6FEB"/>
                <w:sz w:val="18"/>
              </w:rPr>
              <w:t>Scope</w:t>
            </w:r>
          </w:p>
        </w:tc>
        <w:tc>
          <w:tcPr>
            <w:tcW w:type="dxa" w:w="1468"/>
            <w:shd w:fill="F7F9FC"/>
          </w:tcPr>
          <w:p>
            <w:r/>
            <w:r>
              <w:rPr>
                <w:b/>
                <w:color w:val="1F6FEB"/>
                <w:sz w:val="18"/>
              </w:rPr>
              <w:t>Owner</w:t>
            </w:r>
          </w:p>
        </w:tc>
        <w:tc>
          <w:tcPr>
            <w:tcW w:type="dxa" w:w="1864"/>
            <w:shd w:fill="F7F9FC"/>
          </w:tcPr>
          <w:p>
            <w:r/>
            <w:r>
              <w:rPr>
                <w:b/>
                <w:color w:val="1F6FEB"/>
                <w:sz w:val="18"/>
              </w:rPr>
              <w:t>Evidence expectation</w:t>
            </w:r>
          </w:p>
        </w:tc>
      </w:tr>
      <w:tr>
        <w:trPr>
          <w:cantSplit/>
        </w:trPr>
        <w:tc>
          <w:tcPr>
            <w:tcW w:type="dxa" w:w="1864"/>
          </w:tcPr>
          <w:p>
            <w:r/>
            <w:r>
              <w:rPr>
                <w:b w:val="0"/>
                <w:color w:val="1F2328"/>
                <w:sz w:val="18"/>
              </w:rPr>
              <w:t>AMP-OWN-001</w:t>
            </w:r>
          </w:p>
        </w:tc>
        <w:tc>
          <w:tcPr>
            <w:tcW w:type="dxa" w:w="1720"/>
          </w:tcPr>
          <w:p>
            <w:r/>
            <w:r>
              <w:rPr>
                <w:b w:val="0"/>
                <w:color w:val="1F2328"/>
                <w:sz w:val="18"/>
              </w:rPr>
              <w:t>Every in-scope Arcfield Platform asset that holds production or customer data must have one named owner in the Asset Inventory before it is used. A team name is not an owner.</w:t>
            </w:r>
          </w:p>
        </w:tc>
        <w:tc>
          <w:tcPr>
            <w:tcW w:type="dxa" w:w="3164"/>
          </w:tcPr>
          <w:p>
            <w:r/>
            <w:r>
              <w:rPr>
                <w:b w:val="0"/>
                <w:color w:val="1F2328"/>
                <w:sz w:val="18"/>
              </w:rPr>
              <w:t>Production, customer-data and CI/CD assets recorded in AI.</w:t>
            </w:r>
          </w:p>
        </w:tc>
        <w:tc>
          <w:tcPr>
            <w:tcW w:type="dxa" w:w="1468"/>
          </w:tcPr>
          <w:p>
            <w:r/>
            <w:r>
              <w:rPr>
                <w:b w:val="0"/>
                <w:color w:val="1F2328"/>
                <w:sz w:val="18"/>
              </w:rPr>
              <w:t>ISMS Manager</w:t>
            </w:r>
          </w:p>
        </w:tc>
        <w:tc>
          <w:tcPr>
            <w:tcW w:type="dxa" w:w="1864"/>
          </w:tcPr>
          <w:p>
            <w:r/>
            <w:r>
              <w:rPr>
                <w:b w:val="0"/>
                <w:color w:val="1F2328"/>
                <w:sz w:val="18"/>
              </w:rPr>
              <w:t>Expected: AI owner field populated before go-live. No observation is supplied.</w:t>
            </w:r>
          </w:p>
        </w:tc>
      </w:tr>
    </w:tbl>
    <w:p>
      <w:pPr>
        <w:spacing w:before="0" w:after="120"/>
      </w:pPr>
    </w:p>
    <w:p>
      <w:pPr>
        <w:pStyle w:val="974"/>
        <w:outlineLvl w:val="1"/>
      </w:pPr>
      <w:bookmarkStart w:id="11" w:name="_TocRAM007"/>
      <w:r>
        <w:t>Inventory</w:t>
      </w:r>
      <w:bookmarkEnd w:id="11"/>
    </w:p>
    <w:p>
      <w:r>
        <w:rPr>
          <w:b w:val="0"/>
        </w:rPr>
        <w:t>Read AMP-INV-001 as the classified Arcfield rule for this topic. Capability or presence is not enforcement.</w:t>
      </w:r>
    </w:p>
    <w:tbl>
      <w:tblPr>
        <w:tblStyle w:val="1033"/>
        <w:tblW w:type="dxa" w:w="10080"/>
        <w:jc w:val="left"/>
        <w:tblLayout w:type="fixed"/>
        <w:tblLook w:firstColumn="1" w:firstRow="1" w:lastColumn="0" w:lastRow="0" w:noHBand="0" w:noVBand="1" w:val="04A0"/>
      </w:tblPr>
      <w:tblGrid>
        <w:gridCol w:w="1864"/>
        <w:gridCol w:w="2440"/>
        <w:gridCol w:w="2444"/>
        <w:gridCol w:w="1468"/>
        <w:gridCol w:w="1864"/>
      </w:tblGrid>
      <w:tr>
        <w:trPr>
          <w:tblHeader/>
          <w:cantSplit/>
        </w:trPr>
        <w:tc>
          <w:tcPr>
            <w:tcW w:type="dxa" w:w="1864"/>
            <w:shd w:fill="F7F9FC"/>
          </w:tcPr>
          <w:p>
            <w:r/>
            <w:r>
              <w:rPr>
                <w:b/>
                <w:color w:val="1F6FEB"/>
                <w:sz w:val="18"/>
              </w:rPr>
              <w:t>Rule ID</w:t>
            </w:r>
          </w:p>
        </w:tc>
        <w:tc>
          <w:tcPr>
            <w:tcW w:type="dxa" w:w="2440"/>
            <w:shd w:fill="F7F9FC"/>
          </w:tcPr>
          <w:p>
            <w:r/>
            <w:r>
              <w:rPr>
                <w:b/>
                <w:color w:val="1F6FEB"/>
                <w:sz w:val="18"/>
              </w:rPr>
              <w:t>Statement</w:t>
            </w:r>
          </w:p>
        </w:tc>
        <w:tc>
          <w:tcPr>
            <w:tcW w:type="dxa" w:w="2444"/>
            <w:shd w:fill="F7F9FC"/>
          </w:tcPr>
          <w:p>
            <w:r/>
            <w:r>
              <w:rPr>
                <w:b/>
                <w:color w:val="1F6FEB"/>
                <w:sz w:val="18"/>
              </w:rPr>
              <w:t>Scope</w:t>
            </w:r>
          </w:p>
        </w:tc>
        <w:tc>
          <w:tcPr>
            <w:tcW w:type="dxa" w:w="1468"/>
            <w:shd w:fill="F7F9FC"/>
          </w:tcPr>
          <w:p>
            <w:r/>
            <w:r>
              <w:rPr>
                <w:b/>
                <w:color w:val="1F6FEB"/>
                <w:sz w:val="18"/>
              </w:rPr>
              <w:t>Owner</w:t>
            </w:r>
          </w:p>
        </w:tc>
        <w:tc>
          <w:tcPr>
            <w:tcW w:type="dxa" w:w="1864"/>
            <w:shd w:fill="F7F9FC"/>
          </w:tcPr>
          <w:p>
            <w:r/>
            <w:r>
              <w:rPr>
                <w:b/>
                <w:color w:val="1F6FEB"/>
                <w:sz w:val="18"/>
              </w:rPr>
              <w:t>Evidence expectation</w:t>
            </w:r>
          </w:p>
        </w:tc>
      </w:tr>
      <w:tr>
        <w:trPr>
          <w:cantSplit/>
        </w:trPr>
        <w:tc>
          <w:tcPr>
            <w:tcW w:type="dxa" w:w="1864"/>
          </w:tcPr>
          <w:p>
            <w:r/>
            <w:r>
              <w:rPr>
                <w:b w:val="0"/>
                <w:color w:val="1F2328"/>
                <w:sz w:val="18"/>
              </w:rPr>
              <w:t>AMP-INV-001</w:t>
            </w:r>
          </w:p>
        </w:tc>
        <w:tc>
          <w:tcPr>
            <w:tcW w:type="dxa" w:w="2440"/>
          </w:tcPr>
          <w:p>
            <w:r/>
            <w:r>
              <w:rPr>
                <w:b w:val="0"/>
                <w:color w:val="1F2328"/>
                <w:sz w:val="18"/>
              </w:rPr>
              <w:t>A new production or customer-data asset is not authorised until it has an Asset Inventory row with owner, classification, hosting and personal-data flag.</w:t>
            </w:r>
          </w:p>
        </w:tc>
        <w:tc>
          <w:tcPr>
            <w:tcW w:type="dxa" w:w="2444"/>
          </w:tcPr>
          <w:p>
            <w:r/>
            <w:r>
              <w:rPr>
                <w:b w:val="0"/>
                <w:color w:val="1F2328"/>
                <w:sz w:val="18"/>
              </w:rPr>
              <w:t>New Arcfield Platform systems, stores and integrations.</w:t>
            </w:r>
          </w:p>
        </w:tc>
        <w:tc>
          <w:tcPr>
            <w:tcW w:type="dxa" w:w="1468"/>
          </w:tcPr>
          <w:p>
            <w:r/>
            <w:r>
              <w:rPr>
                <w:b w:val="0"/>
                <w:color w:val="1F2328"/>
                <w:sz w:val="18"/>
              </w:rPr>
              <w:t>ISMS Manager</w:t>
            </w:r>
          </w:p>
        </w:tc>
        <w:tc>
          <w:tcPr>
            <w:tcW w:type="dxa" w:w="1864"/>
          </w:tcPr>
          <w:p>
            <w:r/>
            <w:r>
              <w:rPr>
                <w:b w:val="0"/>
                <w:color w:val="1F2328"/>
                <w:sz w:val="18"/>
              </w:rPr>
              <w:t>Expected: AI row created before first production use. No observation is supplied.</w:t>
            </w:r>
          </w:p>
        </w:tc>
      </w:tr>
    </w:tbl>
    <w:p>
      <w:pPr>
        <w:spacing w:before="0" w:after="120"/>
      </w:pPr>
    </w:p>
    <w:p>
      <w:pPr>
        <w:pStyle w:val="974"/>
        <w:outlineLvl w:val="1"/>
      </w:pPr>
      <w:bookmarkStart w:id="12" w:name="_TocRAM008"/>
      <w:r>
        <w:t>Classification and handling</w:t>
      </w:r>
      <w:bookmarkEnd w:id="12"/>
    </w:p>
    <w:p>
      <w:r>
        <w:rPr>
          <w:b w:val="0"/>
        </w:rPr>
        <w:t>Read AMP-CLS-001 as the classified Arcfield rule for this topic. Capability or presence is not enforcement.</w:t>
      </w:r>
    </w:p>
    <w:tbl>
      <w:tblPr>
        <w:tblStyle w:val="1033"/>
        <w:tblW w:type="dxa" w:w="10080"/>
        <w:jc w:val="left"/>
        <w:tblLayout w:type="fixed"/>
        <w:tblLook w:firstColumn="1" w:firstRow="1" w:lastColumn="0" w:lastRow="0" w:noHBand="0" w:noVBand="1" w:val="04A0"/>
      </w:tblPr>
      <w:tblGrid>
        <w:gridCol w:w="1864"/>
        <w:gridCol w:w="2440"/>
        <w:gridCol w:w="2012"/>
        <w:gridCol w:w="1468"/>
        <w:gridCol w:w="2296"/>
      </w:tblGrid>
      <w:tr>
        <w:trPr>
          <w:tblHeader/>
          <w:cantSplit/>
        </w:trPr>
        <w:tc>
          <w:tcPr>
            <w:tcW w:type="dxa" w:w="1864"/>
            <w:shd w:fill="F7F9FC"/>
          </w:tcPr>
          <w:p>
            <w:r/>
            <w:r>
              <w:rPr>
                <w:b/>
                <w:color w:val="1F6FEB"/>
                <w:sz w:val="18"/>
              </w:rPr>
              <w:t>Rule ID</w:t>
            </w:r>
          </w:p>
        </w:tc>
        <w:tc>
          <w:tcPr>
            <w:tcW w:type="dxa" w:w="2440"/>
            <w:shd w:fill="F7F9FC"/>
          </w:tcPr>
          <w:p>
            <w:r/>
            <w:r>
              <w:rPr>
                <w:b/>
                <w:color w:val="1F6FEB"/>
                <w:sz w:val="18"/>
              </w:rPr>
              <w:t>Statement</w:t>
            </w:r>
          </w:p>
        </w:tc>
        <w:tc>
          <w:tcPr>
            <w:tcW w:type="dxa" w:w="2012"/>
            <w:shd w:fill="F7F9FC"/>
          </w:tcPr>
          <w:p>
            <w:r/>
            <w:r>
              <w:rPr>
                <w:b/>
                <w:color w:val="1F6FEB"/>
                <w:sz w:val="18"/>
              </w:rPr>
              <w:t>Scope</w:t>
            </w:r>
          </w:p>
        </w:tc>
        <w:tc>
          <w:tcPr>
            <w:tcW w:type="dxa" w:w="1468"/>
            <w:shd w:fill="F7F9FC"/>
          </w:tcPr>
          <w:p>
            <w:r/>
            <w:r>
              <w:rPr>
                <w:b/>
                <w:color w:val="1F6FEB"/>
                <w:sz w:val="18"/>
              </w:rPr>
              <w:t>Owner</w:t>
            </w:r>
          </w:p>
        </w:tc>
        <w:tc>
          <w:tcPr>
            <w:tcW w:type="dxa" w:w="2296"/>
            <w:shd w:fill="F7F9FC"/>
          </w:tcPr>
          <w:p>
            <w:r/>
            <w:r>
              <w:rPr>
                <w:b/>
                <w:color w:val="1F6FEB"/>
                <w:sz w:val="18"/>
              </w:rPr>
              <w:t>Evidence expectation</w:t>
            </w:r>
          </w:p>
        </w:tc>
      </w:tr>
      <w:tr>
        <w:trPr>
          <w:cantSplit/>
        </w:trPr>
        <w:tc>
          <w:tcPr>
            <w:tcW w:type="dxa" w:w="1864"/>
          </w:tcPr>
          <w:p>
            <w:r/>
            <w:r>
              <w:rPr>
                <w:b w:val="0"/>
                <w:color w:val="1F2328"/>
                <w:sz w:val="18"/>
              </w:rPr>
              <w:t>AMP-CLS-001</w:t>
            </w:r>
          </w:p>
        </w:tc>
        <w:tc>
          <w:tcPr>
            <w:tcW w:type="dxa" w:w="2440"/>
          </w:tcPr>
          <w:p>
            <w:r/>
            <w:r>
              <w:rPr>
                <w:b w:val="0"/>
                <w:color w:val="1F2328"/>
                <w:sz w:val="18"/>
              </w:rPr>
              <w:t>Classification and handling follow the Information Classification Policy levels. This file does not invent a fifth level or a colour-as-class scheme.</w:t>
            </w:r>
          </w:p>
        </w:tc>
        <w:tc>
          <w:tcPr>
            <w:tcW w:type="dxa" w:w="2012"/>
          </w:tcPr>
          <w:p>
            <w:r/>
            <w:r>
              <w:rPr>
                <w:b w:val="0"/>
                <w:color w:val="1F2328"/>
                <w:sz w:val="18"/>
              </w:rPr>
              <w:t>Assets that store or process Arcfield Platform information.</w:t>
            </w:r>
          </w:p>
        </w:tc>
        <w:tc>
          <w:tcPr>
            <w:tcW w:type="dxa" w:w="1468"/>
          </w:tcPr>
          <w:p>
            <w:r/>
            <w:r>
              <w:rPr>
                <w:b w:val="0"/>
                <w:color w:val="1F2328"/>
                <w:sz w:val="18"/>
              </w:rPr>
              <w:t>ISMS Manager</w:t>
            </w:r>
          </w:p>
        </w:tc>
        <w:tc>
          <w:tcPr>
            <w:tcW w:type="dxa" w:w="2296"/>
          </w:tcPr>
          <w:p>
            <w:r/>
            <w:r>
              <w:rPr>
                <w:b w:val="0"/>
                <w:color w:val="1F2328"/>
                <w:sz w:val="18"/>
              </w:rPr>
              <w:t>Expected: AI classification equal to an ICP level. No observation is supplied.</w:t>
            </w:r>
          </w:p>
        </w:tc>
      </w:tr>
    </w:tbl>
    <w:p>
      <w:pPr>
        <w:spacing w:before="0" w:after="120"/>
      </w:pPr>
    </w:p>
    <w:p>
      <w:pPr>
        <w:pStyle w:val="974"/>
        <w:outlineLvl w:val="1"/>
      </w:pPr>
      <w:bookmarkStart w:id="13" w:name="_TocRAM009"/>
      <w:r>
        <w:t>Lifecycle control</w:t>
      </w:r>
      <w:bookmarkEnd w:id="13"/>
    </w:p>
    <w:p>
      <w:r>
        <w:rPr>
          <w:b w:val="0"/>
        </w:rPr>
        <w:t>Read AMP-LFC-001 as the classified Arcfield rule for this topic. Capability or presence is not enforcement.</w:t>
      </w:r>
    </w:p>
    <w:tbl>
      <w:tblPr>
        <w:tblStyle w:val="1033"/>
        <w:tblW w:type="dxa" w:w="10080"/>
        <w:jc w:val="left"/>
        <w:tblLayout w:type="fixed"/>
        <w:tblLook w:firstColumn="1" w:firstRow="1" w:lastColumn="0" w:lastRow="0" w:noHBand="0" w:noVBand="1" w:val="04A0"/>
      </w:tblPr>
      <w:tblGrid>
        <w:gridCol w:w="1864"/>
        <w:gridCol w:w="1720"/>
        <w:gridCol w:w="2876"/>
        <w:gridCol w:w="1468"/>
        <w:gridCol w:w="2152"/>
      </w:tblGrid>
      <w:tr>
        <w:trPr>
          <w:tblHeader/>
          <w:cantSplit/>
        </w:trPr>
        <w:tc>
          <w:tcPr>
            <w:tcW w:type="dxa" w:w="1864"/>
            <w:shd w:fill="F7F9FC"/>
          </w:tcPr>
          <w:p>
            <w:r/>
            <w:r>
              <w:rPr>
                <w:b/>
                <w:color w:val="1F6FEB"/>
                <w:sz w:val="18"/>
              </w:rPr>
              <w:t>Rule ID</w:t>
            </w:r>
          </w:p>
        </w:tc>
        <w:tc>
          <w:tcPr>
            <w:tcW w:type="dxa" w:w="1720"/>
            <w:shd w:fill="F7F9FC"/>
          </w:tcPr>
          <w:p>
            <w:r/>
            <w:r>
              <w:rPr>
                <w:b/>
                <w:color w:val="1F6FEB"/>
                <w:sz w:val="18"/>
              </w:rPr>
              <w:t>Statement</w:t>
            </w:r>
          </w:p>
        </w:tc>
        <w:tc>
          <w:tcPr>
            <w:tcW w:type="dxa" w:w="2876"/>
            <w:shd w:fill="F7F9FC"/>
          </w:tcPr>
          <w:p>
            <w:r/>
            <w:r>
              <w:rPr>
                <w:b/>
                <w:color w:val="1F6FEB"/>
                <w:sz w:val="18"/>
              </w:rPr>
              <w:t>Scope</w:t>
            </w:r>
          </w:p>
        </w:tc>
        <w:tc>
          <w:tcPr>
            <w:tcW w:type="dxa" w:w="1468"/>
            <w:shd w:fill="F7F9FC"/>
          </w:tcPr>
          <w:p>
            <w:r/>
            <w:r>
              <w:rPr>
                <w:b/>
                <w:color w:val="1F6FEB"/>
                <w:sz w:val="18"/>
              </w:rPr>
              <w:t>Owner</w:t>
            </w:r>
          </w:p>
        </w:tc>
        <w:tc>
          <w:tcPr>
            <w:tcW w:type="dxa" w:w="2152"/>
            <w:shd w:fill="F7F9FC"/>
          </w:tcPr>
          <w:p>
            <w:r/>
            <w:r>
              <w:rPr>
                <w:b/>
                <w:color w:val="1F6FEB"/>
                <w:sz w:val="18"/>
              </w:rPr>
              <w:t>Evidence expectation</w:t>
            </w:r>
          </w:p>
        </w:tc>
      </w:tr>
      <w:tr>
        <w:trPr>
          <w:cantSplit/>
        </w:trPr>
        <w:tc>
          <w:tcPr>
            <w:tcW w:type="dxa" w:w="1864"/>
          </w:tcPr>
          <w:p>
            <w:r/>
            <w:r>
              <w:rPr>
                <w:b w:val="0"/>
                <w:color w:val="1F2328"/>
                <w:sz w:val="18"/>
              </w:rPr>
              <w:t>AMP-LFC-001</w:t>
            </w:r>
          </w:p>
        </w:tc>
        <w:tc>
          <w:tcPr>
            <w:tcW w:type="dxa" w:w="1720"/>
          </w:tcPr>
          <w:p>
            <w:r/>
            <w:r>
              <w:rPr>
                <w:b w:val="0"/>
                <w:color w:val="1F2328"/>
                <w:sz w:val="18"/>
              </w:rPr>
              <w:t>Transfer or retirement is recorded with date, successor owner and disposal method. Removal from production does not retire the asset until the inventory row says so.</w:t>
            </w:r>
          </w:p>
        </w:tc>
        <w:tc>
          <w:tcPr>
            <w:tcW w:type="dxa" w:w="2876"/>
          </w:tcPr>
          <w:p>
            <w:r/>
            <w:r>
              <w:rPr>
                <w:b w:val="0"/>
                <w:color w:val="1F2328"/>
                <w:sz w:val="18"/>
              </w:rPr>
              <w:t>Decommission, handover and disposal of Arcfield Platform assets.</w:t>
            </w:r>
          </w:p>
        </w:tc>
        <w:tc>
          <w:tcPr>
            <w:tcW w:type="dxa" w:w="1468"/>
          </w:tcPr>
          <w:p>
            <w:r/>
            <w:r>
              <w:rPr>
                <w:b w:val="0"/>
                <w:color w:val="1F2328"/>
                <w:sz w:val="18"/>
              </w:rPr>
              <w:t>ISMS Manager</w:t>
            </w:r>
          </w:p>
        </w:tc>
        <w:tc>
          <w:tcPr>
            <w:tcW w:type="dxa" w:w="2152"/>
          </w:tcPr>
          <w:p>
            <w:r/>
            <w:r>
              <w:rPr>
                <w:b w:val="0"/>
                <w:color w:val="1F2328"/>
                <w:sz w:val="18"/>
              </w:rPr>
              <w:t>Expected: AI lifecycle status plus disposal record. This rule stays HUMAN_REVIEW. No observation is supplied.</w:t>
            </w:r>
          </w:p>
        </w:tc>
      </w:tr>
    </w:tbl>
    <w:p>
      <w:pPr>
        <w:spacing w:before="0" w:after="120"/>
      </w:pPr>
    </w:p>
    <w:p>
      <w:pPr>
        <w:pStyle w:val="974"/>
        <w:outlineLvl w:val="1"/>
      </w:pPr>
      <w:bookmarkStart w:id="14" w:name="_TocRAM010"/>
      <w:r>
        <w:t>Supplier and cloud assets</w:t>
      </w:r>
      <w:bookmarkEnd w:id="14"/>
    </w:p>
    <w:p>
      <w:r>
        <w:rPr>
          <w:b w:val="0"/>
        </w:rPr>
        <w:t>Read AMP-SUP-001 as the classified Arcfield rule for this topic. Capability or presence is not enforcement.</w:t>
      </w:r>
    </w:p>
    <w:tbl>
      <w:tblPr>
        <w:tblStyle w:val="1033"/>
        <w:tblW w:type="dxa" w:w="10080"/>
        <w:jc w:val="left"/>
        <w:tblLayout w:type="fixed"/>
        <w:tblLook w:firstColumn="1" w:firstRow="1" w:lastColumn="0" w:lastRow="0" w:noHBand="0" w:noVBand="1" w:val="04A0"/>
      </w:tblPr>
      <w:tblGrid>
        <w:gridCol w:w="1864"/>
        <w:gridCol w:w="3308"/>
        <w:gridCol w:w="1576"/>
        <w:gridCol w:w="1468"/>
        <w:gridCol w:w="1864"/>
      </w:tblGrid>
      <w:tr>
        <w:trPr>
          <w:tblHeader/>
          <w:cantSplit/>
        </w:trPr>
        <w:tc>
          <w:tcPr>
            <w:tcW w:type="dxa" w:w="1864"/>
            <w:shd w:fill="F7F9FC"/>
          </w:tcPr>
          <w:p>
            <w:r/>
            <w:r>
              <w:rPr>
                <w:b/>
                <w:color w:val="1F6FEB"/>
                <w:sz w:val="18"/>
              </w:rPr>
              <w:t>Rule ID</w:t>
            </w:r>
          </w:p>
        </w:tc>
        <w:tc>
          <w:tcPr>
            <w:tcW w:type="dxa" w:w="3308"/>
            <w:shd w:fill="F7F9FC"/>
          </w:tcPr>
          <w:p>
            <w:r/>
            <w:r>
              <w:rPr>
                <w:b/>
                <w:color w:val="1F6FEB"/>
                <w:sz w:val="18"/>
              </w:rPr>
              <w:t>Statement</w:t>
            </w:r>
          </w:p>
        </w:tc>
        <w:tc>
          <w:tcPr>
            <w:tcW w:type="dxa" w:w="1576"/>
            <w:shd w:fill="F7F9FC"/>
          </w:tcPr>
          <w:p>
            <w:r/>
            <w:r>
              <w:rPr>
                <w:b/>
                <w:color w:val="1F6FEB"/>
                <w:sz w:val="18"/>
              </w:rPr>
              <w:t>Scope</w:t>
            </w:r>
          </w:p>
        </w:tc>
        <w:tc>
          <w:tcPr>
            <w:tcW w:type="dxa" w:w="1468"/>
            <w:shd w:fill="F7F9FC"/>
          </w:tcPr>
          <w:p>
            <w:r/>
            <w:r>
              <w:rPr>
                <w:b/>
                <w:color w:val="1F6FEB"/>
                <w:sz w:val="18"/>
              </w:rPr>
              <w:t>Owner</w:t>
            </w:r>
          </w:p>
        </w:tc>
        <w:tc>
          <w:tcPr>
            <w:tcW w:type="dxa" w:w="1864"/>
            <w:shd w:fill="F7F9FC"/>
          </w:tcPr>
          <w:p>
            <w:r/>
            <w:r>
              <w:rPr>
                <w:b/>
                <w:color w:val="1F6FEB"/>
                <w:sz w:val="18"/>
              </w:rPr>
              <w:t>Evidence expectation</w:t>
            </w:r>
          </w:p>
        </w:tc>
      </w:tr>
      <w:tr>
        <w:trPr>
          <w:cantSplit/>
        </w:trPr>
        <w:tc>
          <w:tcPr>
            <w:tcW w:type="dxa" w:w="1864"/>
          </w:tcPr>
          <w:p>
            <w:r/>
            <w:r>
              <w:rPr>
                <w:b w:val="0"/>
                <w:color w:val="1F2328"/>
                <w:sz w:val="18"/>
              </w:rPr>
              <w:t>AMP-SUP-001</w:t>
            </w:r>
          </w:p>
        </w:tc>
        <w:tc>
          <w:tcPr>
            <w:tcW w:type="dxa" w:w="3308"/>
          </w:tcPr>
          <w:p>
            <w:r/>
            <w:r>
              <w:rPr>
                <w:b w:val="0"/>
                <w:color w:val="1F2328"/>
                <w:sz w:val="18"/>
              </w:rPr>
              <w:t>A supplier-hosted or cloud asset has a named Arcfield owner and a Supplier Inventory supplier. Hosting is not ownership.</w:t>
            </w:r>
          </w:p>
        </w:tc>
        <w:tc>
          <w:tcPr>
            <w:tcW w:type="dxa" w:w="1576"/>
          </w:tcPr>
          <w:p>
            <w:r/>
            <w:r>
              <w:rPr>
                <w:b w:val="0"/>
                <w:color w:val="1F2328"/>
                <w:sz w:val="18"/>
              </w:rPr>
              <w:t>Cloud accounts, SaaS tenants and hosted stores used by Arcfield Platform.</w:t>
            </w:r>
          </w:p>
        </w:tc>
        <w:tc>
          <w:tcPr>
            <w:tcW w:type="dxa" w:w="1468"/>
          </w:tcPr>
          <w:p>
            <w:r/>
            <w:r>
              <w:rPr>
                <w:b w:val="0"/>
                <w:color w:val="1F2328"/>
                <w:sz w:val="18"/>
              </w:rPr>
              <w:t>ISMS Manager</w:t>
            </w:r>
          </w:p>
        </w:tc>
        <w:tc>
          <w:tcPr>
            <w:tcW w:type="dxa" w:w="1864"/>
          </w:tcPr>
          <w:p>
            <w:r/>
            <w:r>
              <w:rPr>
                <w:b w:val="0"/>
                <w:color w:val="1F2328"/>
                <w:sz w:val="18"/>
              </w:rPr>
              <w:t>Expected: AI hosting field plus SINV row. No observation is supplied.</w:t>
            </w:r>
          </w:p>
        </w:tc>
      </w:tr>
    </w:tbl>
    <w:p>
      <w:pPr>
        <w:spacing w:before="0" w:after="120"/>
      </w:pPr>
    </w:p>
    <w:p>
      <w:pPr>
        <w:pStyle w:val="974"/>
        <w:outlineLvl w:val="1"/>
      </w:pPr>
      <w:bookmarkStart w:id="15" w:name="_TocRAM011"/>
      <w:r>
        <w:t>Evidence expectations</w:t>
      </w:r>
      <w:bookmarkEnd w:id="15"/>
    </w:p>
    <w:p>
      <w:r>
        <w:rPr>
          <w:b w:val="0"/>
        </w:rPr>
        <w:t>Use this table to see what a named evidence ID can prove. It is not a log of collected observations.</w:t>
      </w:r>
    </w:p>
    <w:tbl>
      <w:tblPr>
        <w:tblStyle w:val="1033"/>
        <w:tblW w:type="dxa" w:w="10080"/>
        <w:jc w:val="left"/>
        <w:tblLayout w:type="fixed"/>
        <w:tblLook w:firstColumn="1" w:firstRow="1" w:lastColumn="0" w:lastRow="0" w:noHBand="0" w:noVBand="1" w:val="04A0"/>
      </w:tblPr>
      <w:tblGrid>
        <w:gridCol w:w="1720"/>
        <w:gridCol w:w="2008"/>
        <w:gridCol w:w="2876"/>
        <w:gridCol w:w="1468"/>
        <w:gridCol w:w="2008"/>
      </w:tblGrid>
      <w:tr>
        <w:trPr>
          <w:tblHeader/>
          <w:cantSplit/>
        </w:trPr>
        <w:tc>
          <w:tcPr>
            <w:tcW w:type="dxa" w:w="1720"/>
            <w:shd w:fill="F7F9FC"/>
          </w:tcPr>
          <w:p>
            <w:r/>
            <w:r>
              <w:rPr>
                <w:b/>
                <w:color w:val="1F6FEB"/>
                <w:sz w:val="18"/>
              </w:rPr>
              <w:t>Rule ID</w:t>
            </w:r>
          </w:p>
        </w:tc>
        <w:tc>
          <w:tcPr>
            <w:tcW w:type="dxa" w:w="2008"/>
            <w:shd w:fill="F7F9FC"/>
          </w:tcPr>
          <w:p>
            <w:r/>
            <w:r>
              <w:rPr>
                <w:b/>
                <w:color w:val="1F6FEB"/>
                <w:sz w:val="18"/>
              </w:rPr>
              <w:t>Statement</w:t>
            </w:r>
          </w:p>
        </w:tc>
        <w:tc>
          <w:tcPr>
            <w:tcW w:type="dxa" w:w="2876"/>
            <w:shd w:fill="F7F9FC"/>
          </w:tcPr>
          <w:p>
            <w:r/>
            <w:r>
              <w:rPr>
                <w:b/>
                <w:color w:val="1F6FEB"/>
                <w:sz w:val="18"/>
              </w:rPr>
              <w:t>Scope</w:t>
            </w:r>
          </w:p>
        </w:tc>
        <w:tc>
          <w:tcPr>
            <w:tcW w:type="dxa" w:w="1468"/>
            <w:shd w:fill="F7F9FC"/>
          </w:tcPr>
          <w:p>
            <w:r/>
            <w:r>
              <w:rPr>
                <w:b/>
                <w:color w:val="1F6FEB"/>
                <w:sz w:val="18"/>
              </w:rPr>
              <w:t>Owner</w:t>
            </w:r>
          </w:p>
        </w:tc>
        <w:tc>
          <w:tcPr>
            <w:tcW w:type="dxa" w:w="2008"/>
            <w:shd w:fill="F7F9FC"/>
          </w:tcPr>
          <w:p>
            <w:r/>
            <w:r>
              <w:rPr>
                <w:b/>
                <w:color w:val="1F6FEB"/>
                <w:sz w:val="18"/>
              </w:rPr>
              <w:t>Evidence expectation</w:t>
            </w:r>
          </w:p>
        </w:tc>
      </w:tr>
      <w:tr>
        <w:trPr>
          <w:cantSplit/>
        </w:trPr>
        <w:tc>
          <w:tcPr>
            <w:tcW w:type="dxa" w:w="1720"/>
          </w:tcPr>
          <w:p>
            <w:r/>
            <w:r>
              <w:rPr>
                <w:b w:val="0"/>
                <w:color w:val="1F2328"/>
                <w:sz w:val="18"/>
              </w:rPr>
              <w:t>AMP-EV-001</w:t>
            </w:r>
          </w:p>
        </w:tc>
        <w:tc>
          <w:tcPr>
            <w:tcW w:type="dxa" w:w="2008"/>
          </w:tcPr>
          <w:p>
            <w:r/>
            <w:r>
              <w:rPr>
                <w:b w:val="0"/>
                <w:color w:val="1F2328"/>
                <w:sz w:val="18"/>
              </w:rPr>
              <w:t>Each rule above states an evidence expectation. An identifier without a bound dataset is not collected evidence.</w:t>
            </w:r>
          </w:p>
        </w:tc>
        <w:tc>
          <w:tcPr>
            <w:tcW w:type="dxa" w:w="2876"/>
          </w:tcPr>
          <w:p>
            <w:r/>
            <w:r>
              <w:rPr>
                <w:b w:val="0"/>
                <w:color w:val="1F2328"/>
                <w:sz w:val="18"/>
              </w:rPr>
              <w:t>All AMP rules in this file.</w:t>
            </w:r>
          </w:p>
        </w:tc>
        <w:tc>
          <w:tcPr>
            <w:tcW w:type="dxa" w:w="1468"/>
          </w:tcPr>
          <w:p>
            <w:r/>
            <w:r>
              <w:rPr>
                <w:b w:val="0"/>
                <w:color w:val="1F2328"/>
                <w:sz w:val="18"/>
              </w:rPr>
              <w:t>ISMS Manager</w:t>
            </w:r>
          </w:p>
        </w:tc>
        <w:tc>
          <w:tcPr>
            <w:tcW w:type="dxa" w:w="2008"/>
          </w:tcPr>
          <w:p>
            <w:r/>
            <w:r>
              <w:rPr>
                <w:b w:val="0"/>
                <w:color w:val="1F2328"/>
                <w:sz w:val="18"/>
              </w:rPr>
              <w:t>Expected evidence reference; no evidence supplied. Do not render this row as an observation.</w:t>
            </w:r>
          </w:p>
        </w:tc>
      </w:tr>
    </w:tbl>
    <w:p>
      <w:pPr>
        <w:spacing w:before="0" w:after="120"/>
      </w:pPr>
    </w:p>
    <w:p>
      <w:pPr>
        <w:pStyle w:val="973"/>
        <w:outlineLvl w:val="0"/>
      </w:pPr>
      <w:bookmarkStart w:id="16" w:name="_TocRAM012"/>
      <w:bookmarkStart w:id="3" w:name="ref_evidence_and_records"/>
      <w:r>
        <w:t>Evidence and records</w:t>
      </w:r>
      <w:bookmarkEnd w:id="3"/>
      <w:bookmarkEnd w:id="16"/>
    </w:p>
    <w:p>
      <w:r>
        <w:rPr>
          <w:b w:val="0"/>
        </w:rPr>
        <w:t>These companions hold live records. This policy states what evidence it needs; it does not ship observations. An evidence ID without a dataset is an expectation. The Owner on the cover is accountable for those live records when you adopt the file.</w:t>
      </w:r>
    </w:p>
    <w:p>
      <w:pPr>
        <w:pStyle w:val="1006"/>
        <w:ind w:left="360" w:hanging="259"/>
        <w:numPr>
          <w:ilvl w:val="0"/>
          <w:numId w:val="12"/>
        </w:numPr>
      </w:pPr>
      <w:hyperlink r:id="rId19" w:history="1">
        <w:r>
          <w:rPr>
            <w:color w:val="0563C1"/>
            <w:u w:val="single"/>
          </w:rPr>
          <w:t xml:space="preserve">Mandatory Documents and Records Register</w:t>
        </w:r>
      </w:hyperlink>
      <w:r>
        <w:rPr>
          <w:b w:val="0"/>
        </w:rPr>
        <w:t xml:space="preserve"> — The 27 mandatory ISO 27001 documents and records, with owner, required status, approval, review cadence, location and evidence readiness.</w:t>
      </w:r>
    </w:p>
    <w:p>
      <w:pPr>
        <w:pStyle w:val="1006"/>
        <w:ind w:left="360" w:hanging="259"/>
        <w:numPr>
          <w:ilvl w:val="0"/>
          <w:numId w:val="12"/>
        </w:numPr>
      </w:pPr>
      <w:hyperlink r:id="rId20" w:history="1">
        <w:r>
          <w:rPr>
            <w:color w:val="0563C1"/>
            <w:u w:val="single"/>
          </w:rPr>
          <w:t xml:space="preserve">Document Register</w:t>
        </w:r>
      </w:hyperlink>
      <w:r>
        <w:rPr>
          <w:b w:val="0"/>
        </w:rPr>
        <w:t xml:space="preserve"> — Controlled documented information: origin, owner, approver, version, review cycle, retention and location.</w:t>
      </w:r>
    </w:p>
    <w:p>
      <w:pPr>
        <w:pStyle w:val="1006"/>
        <w:ind w:left="360" w:hanging="259"/>
        <w:numPr>
          <w:ilvl w:val="0"/>
          <w:numId w:val="12"/>
        </w:numPr>
      </w:pPr>
      <w:hyperlink r:id="rId21" w:history="1">
        <w:r>
          <w:rPr>
            <w:color w:val="0563C1"/>
            <w:u w:val="single"/>
          </w:rPr>
          <w:t xml:space="preserve">Records Retention Schedule</w:t>
        </w:r>
      </w:hyperlink>
      <w:r>
        <w:rPr>
          <w:b w:val="0"/>
        </w:rPr>
        <w:t xml:space="preserve"> — Retention rules for ISMS, security, privacy, audit and operational records, with owner, period, disposal method and evidence.</w:t>
      </w:r>
    </w:p>
    <w:p>
      <w:pPr>
        <w:pStyle w:val="973"/>
        <w:outlineLvl w:val="0"/>
      </w:pPr>
      <w:bookmarkStart w:id="17" w:name="_TocRAM013"/>
      <w:bookmarkStart w:id="4" w:name="ref_external_references"/>
      <w:r>
        <w:t>References</w:t>
      </w:r>
      <w:bookmarkEnd w:id="4"/>
      <w:bookmarkEnd w:id="17"/>
    </w:p>
    <w:p>
      <w:pPr>
        <w:pStyle w:val="974"/>
        <w:outlineLvl w:val="1"/>
      </w:pPr>
      <w:bookmarkStart w:id="18" w:name="_TocRAM014"/>
      <w:r>
        <w:t>Linked documents</w:t>
      </w:r>
      <w:bookmarkEnd w:id="18"/>
    </w:p>
    <w:p>
      <w:r>
        <w:rPr>
          <w:b w:val="0"/>
        </w:rPr>
        <w:t>Availability is by book pack. In-pack files may sit next to this document after unpack. Other-book files are named, not shipped in this Office pack.</w:t>
      </w:r>
    </w:p>
    <w:p>
      <w:pPr>
        <w:pStyle w:val="1006"/>
        <w:ind w:left="360" w:hanging="259"/>
        <w:numPr>
          <w:ilvl w:val="0"/>
          <w:numId w:val="13"/>
        </w:numPr>
      </w:pPr>
      <w:hyperlink r:id="rId16" w:history="1">
        <w:r>
          <w:rPr>
            <w:color w:val="0563C1"/>
            <w:u w:val="single"/>
          </w:rPr>
          <w:t xml:space="preserve">AI (Artificial Intelligence) Asset Inventory</w:t>
        </w:r>
      </w:hyperlink>
      <w:r>
        <w:rPr>
          <w:b w:val="0"/>
        </w:rPr>
        <w:t xml:space="preserve"> — In-scope assets with owner, classification, hosting, personal-data flag and related risk In this book's pack when present.</w:t>
      </w:r>
    </w:p>
    <w:p>
      <w:pPr>
        <w:pStyle w:val="1006"/>
        <w:ind w:left="360" w:hanging="259"/>
        <w:numPr>
          <w:ilvl w:val="0"/>
          <w:numId w:val="13"/>
        </w:numPr>
      </w:pPr>
      <w:hyperlink r:id="rId17" w:history="1">
        <w:r>
          <w:rPr>
            <w:color w:val="0563C1"/>
            <w:u w:val="single"/>
          </w:rPr>
          <w:t xml:space="preserve">SINV Supplier Inventory</w:t>
        </w:r>
      </w:hyperlink>
      <w:r>
        <w:rPr>
          <w:b w:val="0"/>
        </w:rPr>
        <w:t xml:space="preserve"> — Security-relevant suppliers with tier, due diligence, contract controls, subprocessors and exit planning In this book's pack when present.</w:t>
      </w:r>
    </w:p>
    <w:p>
      <w:pPr>
        <w:pStyle w:val="1006"/>
        <w:ind w:left="360" w:hanging="259"/>
        <w:numPr>
          <w:ilvl w:val="0"/>
          <w:numId w:val="13"/>
        </w:numPr>
      </w:pPr>
      <w:hyperlink r:id="rId18" w:history="1">
        <w:r>
          <w:rPr>
            <w:color w:val="0563C1"/>
            <w:u w:val="single"/>
          </w:rPr>
          <w:t xml:space="preserve">UAI Users and Access Inventory</w:t>
        </w:r>
      </w:hyperlink>
      <w:r>
        <w:rPr>
          <w:b w:val="0"/>
        </w:rPr>
        <w:t xml:space="preserve"> — Users and accounts with access rights, privileged access, MFA status, reviews and revocations Another book's pack, not this Office pack.</w:t>
      </w:r>
    </w:p>
    <w:p>
      <w:pPr>
        <w:pStyle w:val="1006"/>
        <w:ind w:left="360" w:hanging="259"/>
        <w:numPr>
          <w:ilvl w:val="0"/>
          <w:numId w:val="13"/>
        </w:numPr>
      </w:pPr>
      <w:hyperlink r:id="rId19" w:history="1">
        <w:r>
          <w:rPr>
            <w:color w:val="0563C1"/>
            <w:u w:val="single"/>
          </w:rPr>
          <w:t xml:space="preserve">MDR Mandatory Documents and Records Register</w:t>
        </w:r>
      </w:hyperlink>
      <w:r>
        <w:rPr>
          <w:b w:val="0"/>
        </w:rPr>
        <w:t xml:space="preserve"> — The 27 mandatory ISO 27001 documents and records, with owner, required status, approval, review cadence, location and evidence readiness Another book's pack, not this Office pack.</w:t>
      </w:r>
    </w:p>
    <w:p>
      <w:pPr>
        <w:pStyle w:val="1006"/>
        <w:ind w:left="360" w:hanging="259"/>
        <w:numPr>
          <w:ilvl w:val="0"/>
          <w:numId w:val="13"/>
        </w:numPr>
      </w:pPr>
      <w:hyperlink r:id="rId20" w:history="1">
        <w:r>
          <w:rPr>
            <w:color w:val="0563C1"/>
            <w:u w:val="single"/>
          </w:rPr>
          <w:t xml:space="preserve">DR Document Register</w:t>
        </w:r>
      </w:hyperlink>
      <w:r>
        <w:rPr>
          <w:b w:val="0"/>
        </w:rPr>
        <w:t xml:space="preserve"> — Controlled documented information: origin, owner, approver, version, review cycle, retention and location In this book's pack when present.</w:t>
      </w:r>
    </w:p>
    <w:p>
      <w:pPr>
        <w:pStyle w:val="1006"/>
        <w:ind w:left="360" w:hanging="259"/>
        <w:numPr>
          <w:ilvl w:val="0"/>
          <w:numId w:val="13"/>
        </w:numPr>
      </w:pPr>
      <w:hyperlink r:id="rId21" w:history="1">
        <w:r>
          <w:rPr>
            <w:color w:val="0563C1"/>
            <w:u w:val="single"/>
          </w:rPr>
          <w:t xml:space="preserve">RRS Records Retention Schedule</w:t>
        </w:r>
      </w:hyperlink>
      <w:r>
        <w:rPr>
          <w:b w:val="0"/>
        </w:rPr>
        <w:t xml:space="preserve"> — Retention rules for ISMS, security, privacy, audit and operational records, with owner, period, disposal method and evidence Another book's pack, not this Office pack.</w:t>
      </w:r>
    </w:p>
    <w:p>
      <w:pPr>
        <w:pStyle w:val="1006"/>
        <w:ind w:left="360" w:hanging="259"/>
        <w:numPr>
          <w:ilvl w:val="0"/>
          <w:numId w:val="13"/>
        </w:numPr>
      </w:pPr>
      <w:hyperlink r:id="rId22" w:history="1">
        <w:r>
          <w:rPr>
            <w:color w:val="0563C1"/>
            <w:u w:val="single"/>
          </w:rPr>
          <w:t xml:space="preserve">ICP Information Classification Policy (Building the ISMS, Information Security Policies &amp; Risk Management)</w:t>
        </w:r>
      </w:hyperlink>
      <w:r>
        <w:rPr>
          <w:b w:val="0"/>
        </w:rPr>
        <w:t xml:space="preserve"> — Interface record. Cite this Document Control version; do not copy this file into that record In this book's pack when present.</w:t>
      </w:r>
    </w:p>
    <w:p>
      <w:pPr>
        <w:pStyle w:val="1006"/>
        <w:ind w:left="360" w:hanging="259"/>
        <w:numPr>
          <w:ilvl w:val="0"/>
          <w:numId w:val="13"/>
        </w:numPr>
      </w:pPr>
      <w:hyperlink r:id="rId23" w:history="1">
        <w:r>
          <w:rPr>
            <w:color w:val="0563C1"/>
            <w:u w:val="single"/>
          </w:rPr>
          <w:t xml:space="preserve">ISO Information Security Objectives (Building the ISMS, Information Security Policies &amp; Risk Management)</w:t>
        </w:r>
      </w:hyperlink>
      <w:r>
        <w:rPr>
          <w:b w:val="0"/>
        </w:rPr>
        <w:t xml:space="preserve"> — Neighbour artefact Information Security Objectives. Artefact ID ISO is not the International Organization for Standardization. In this book's pack when present.</w:t>
      </w:r>
    </w:p>
    <w:p>
      <w:pPr>
        <w:pStyle w:val="974"/>
        <w:outlineLvl w:val="1"/>
      </w:pPr>
      <w:bookmarkStart w:id="19" w:name="_TocRAM015"/>
      <w:r>
        <w:t>External references</w:t>
      </w:r>
      <w:bookmarkEnd w:id="19"/>
    </w:p>
    <w:p>
      <w:r>
        <w:rPr>
          <w:b w:val="0"/>
        </w:rPr>
        <w:t>Cite these ISO clauses and book chapters from workshops and audits.</w:t>
      </w:r>
    </w:p>
    <w:p>
      <w:pPr>
        <w:pStyle w:val="1006"/>
        <w:ind w:left="360" w:hanging="259"/>
        <w:numPr>
          <w:ilvl w:val="0"/>
          <w:numId w:val="14"/>
        </w:numPr>
      </w:pPr>
      <w:hyperlink r:id="rId24" w:history="1">
        <w:r>
          <w:rPr>
            <w:color w:val="0563C1"/>
            <w:u w:val="single"/>
          </w:rPr>
          <w:t xml:space="preserve">ISO/IEC 27001:2022</w:t>
        </w:r>
      </w:hyperlink>
      <w:r>
        <w:rPr>
          <w:b w:val="0"/>
        </w:rPr>
        <w:t xml:space="preserve"> — Normative ISMS requirements this companion artifact supports.</w:t>
      </w:r>
    </w:p>
    <w:p>
      <w:pPr>
        <w:pStyle w:val="1006"/>
        <w:ind w:left="360" w:hanging="259"/>
        <w:numPr>
          <w:ilvl w:val="0"/>
          <w:numId w:val="14"/>
        </w:numPr>
      </w:pPr>
      <w:hyperlink r:id="rId25" w:history="1">
        <w:r>
          <w:rPr>
            <w:color w:val="0563C1"/>
            <w:u w:val="single"/>
          </w:rPr>
          <w:t xml:space="preserve">Implementation &amp; Certification, Asset Management &amp; Information Classification</w:t>
        </w:r>
      </w:hyperlink>
      <w:r>
        <w:rPr>
          <w:b w:val="0"/>
        </w:rPr>
        <w:t xml:space="preserve"> — Primary operating chapter for this companion artifact.</w:t>
      </w:r>
    </w:p>
    <w:p>
      <w:pPr>
        <w:pStyle w:val="1006"/>
        <w:ind w:left="360" w:hanging="259"/>
        <w:numPr>
          <w:ilvl w:val="0"/>
          <w:numId w:val="14"/>
        </w:numPr>
      </w:pPr>
      <w:hyperlink r:id="rId25" w:history="1">
        <w:r>
          <w:rPr>
            <w:color w:val="0563C1"/>
            <w:u w:val="single"/>
          </w:rPr>
          <w:t xml:space="preserve">Implementation &amp; Certification, Asset Management &amp; Information Classification</w:t>
        </w:r>
      </w:hyperlink>
      <w:r>
        <w:rPr>
          <w:b w:val="0"/>
        </w:rPr>
        <w:t xml:space="preserve"> — Primary operating chapter for this companion artifact.</w:t>
      </w:r>
    </w:p>
    <w:p>
      <w:pPr>
        <w:pStyle w:val="1006"/>
        <w:ind w:left="360" w:hanging="259"/>
        <w:numPr>
          <w:ilvl w:val="0"/>
          <w:numId w:val="14"/>
        </w:numPr>
      </w:pPr>
      <w:hyperlink r:id="rId26" w:history="1">
        <w:r>
          <w:rPr>
            <w:color w:val="0563C1"/>
            <w:u w:val="single"/>
          </w:rPr>
          <w:t xml:space="preserve">Building the ISMS, Planning, Risk &amp; Objectives (Clause 6)</w:t>
        </w:r>
      </w:hyperlink>
      <w:r>
        <w:rPr>
          <w:b w:val="0"/>
        </w:rPr>
        <w:t xml:space="preserve"> — Documented information, review and version discipline.</w:t>
      </w:r>
    </w:p>
    <w:sectPr>
      <w:headerReference w:type="default" r:id="rId10"/>
      <w:footerReference w:type="default" r:id="rId11"/>
      <w:headerReference w:type="first" r:id="rId14"/>
      <w:footerReference w:type="first" r:id="rId15"/>
      <w:footnotePr/>
      <w:endnotePr/>
      <w:type w:val="nextPage"/>
      <w:pgSz w:h="15840" w:orient="portrait" w:w="12240"/>
      <w:pgMar w:top="1008" w:right="1080" w:bottom="1008" w:left="1080" w:header="720" w:footer="720" w:gutter="0"/>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Symbol">
    <w:panose1 w:val="05010000000000000000"/>
  </w:font>
  <w:font w:name="Courier"/>
  <w:font w:name="Arial">
    <w:panose1 w:val="020B060402020202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Style w:val="1033"/>
      <w:tblW w:w="0" w:type="auto"/>
      <w:tblBorders/>
      <w:tblLayout w:type="fixed"/>
      <w:tblLook w:val="04A0" w:firstRow="1" w:lastRow="0" w:firstColumn="1" w:lastColumn="0" w:noHBand="0" w:noVBand="1"/>
    </w:tblPr>
    <w:tblGrid>
      <w:gridCol w:w="8949"/>
      <w:gridCol w:w="1131"/>
    </w:tblGrid>
    <w:tr>
      <w:trPr/>
      <w:tc>
        <w:tcPr>
          <w:tcBorders>
            <w:top w:val="none" w:color="000000" w:sz="4" w:space="0"/>
            <w:left w:val="none" w:color="000000" w:sz="4" w:space="0"/>
            <w:bottom w:val="none" w:color="000000" w:sz="4" w:space="0"/>
            <w:right w:val="none" w:color="000000" w:sz="4" w:space="0"/>
          </w:tcBorders>
          <w:tcW w:w="8949" w:type="dxa"/>
        </w:tcPr>
        <w:p w14:paraId="5CF692DF">
          <w:pPr>
            <w:pStyle w:val="971"/>
            <w:pBdr/>
            <w:spacing/>
            <w:ind/>
            <w:jc w:val="left"/>
            <w:rPr/>
          </w:pPr>
          <w:r>
            <w:rPr>
              <w:sz w:val="16"/>
            </w:rPr>
            <w:t xml:space="preserve">© </w:t>
          </w:r>
          <w:r>
            <w:rPr>
              <w:sz w:val="16"/>
              <w:lang w:val="es-ES"/>
            </w:rPr>
            <w:t xml:space="preserve">2026</w:t>
          </w:r>
          <w:r>
            <w:rPr>
              <w:sz w:val="16"/>
            </w:rPr>
            <w:t xml:space="preserve">.</w:t>
          </w:r>
          <w:r>
            <w:rPr>
              <w:sz w:val="16"/>
              <w:lang w:val="es-ES"/>
            </w:rPr>
            <w:t xml:space="preserve"> MessemerTech O</w:t>
          </w:r>
          <w:r>
            <w:rPr>
              <w:sz w:val="16"/>
              <w:lang w:val="es-ES"/>
            </w:rPr>
            <w:t xml:space="preserve">Ü</w:t>
          </w:r>
          <w:r>
            <w:rPr>
              <w:sz w:val="16"/>
              <w:lang w:val="es-ES"/>
            </w:rPr>
            <w:t xml:space="preserve">.</w:t>
          </w:r>
          <w:r>
            <w:rPr>
              <w:sz w:val="16"/>
            </w:rPr>
            <w:t xml:space="preserve"> ExportableProof is an imprint of MessemerTech. All rights reserved.</w:t>
          </w:r>
          <w:r>
            <w:rPr>
              <w:sz w:val="16"/>
              <w:lang w:val="es-ES"/>
            </w:rPr>
            <w:t xml:space="preserve"> </w:t>
          </w:r>
          <w:r/>
        </w:p>
        <w:p w14:paraId="4D434DCC">
          <w:pPr>
            <w:pStyle w:val="971"/>
            <w:pBdr/>
            <w:spacing/>
            <w:ind/>
            <w:jc w:val="center"/>
            <w:rPr>
              <w:sz w:val="16"/>
              <w:szCs w:val="16"/>
            </w:rPr>
          </w:pPr>
          <w:r>
            <w:rPr>
              <w:sz w:val="16"/>
              <w:szCs w:val="16"/>
            </w:rPr>
          </w:r>
          <w:r>
            <w:rPr>
              <w:sz w:val="16"/>
              <w:szCs w:val="16"/>
            </w:rPr>
          </w:r>
          <w:r>
            <w:rPr>
              <w:sz w:val="16"/>
              <w:szCs w:val="16"/>
            </w:rPr>
          </w:r>
        </w:p>
      </w:tc>
      <w:tc>
        <w:tcPr>
          <w:tcBorders>
            <w:top w:val="none" w:color="000000" w:sz="4" w:space="0"/>
            <w:left w:val="none" w:color="000000" w:sz="4" w:space="0"/>
            <w:bottom w:val="none" w:color="000000" w:sz="4" w:space="0"/>
            <w:right w:val="none" w:color="000000" w:sz="4" w:space="0"/>
          </w:tcBorders>
          <w:tcW w:w="1131" w:type="dxa"/>
        </w:tcPr>
        <w:p w14:paraId="3F298D0C">
          <w:pPr>
            <w:pStyle w:val="971"/>
            <w:pBdr/>
            <w:spacing/>
            <w:ind/>
            <w:jc w:val="center"/>
            <w:rPr>
              <w:sz w:val="16"/>
              <w:szCs w:val="16"/>
            </w:rPr>
          </w:pPr>
          <w:r>
            <w:rPr>
              <w:sz w:val="16"/>
              <w:szCs w:val="16"/>
            </w:rPr>
          </w:r>
          <w:r>
            <w:rPr>
              <w:sz w:val="16"/>
              <w:lang w:val="es-ES"/>
            </w:rPr>
            <w:t xml:space="preserve">Page </w:t>
          </w:r>
          <w:fldSimple w:instr="PAGE \* MERGEFORMAT">
            <w:r>
              <w:rPr>
                <w:sz w:val="16"/>
                <w:lang w:val="es-ES"/>
              </w:rPr>
              <w:t xml:space="preserve">1</w:t>
            </w:r>
          </w:fldSimple>
          <w:r>
            <w:rPr>
              <w:sz w:val="16"/>
              <w:lang w:val="es-ES"/>
            </w:rPr>
          </w:r>
          <w:r>
            <w:rPr>
              <w:sz w:val="16"/>
              <w:szCs w:val="16"/>
            </w:rPr>
          </w:r>
          <w:r>
            <w:rPr>
              <w:sz w:val="16"/>
              <w:szCs w:val="16"/>
            </w:rPr>
          </w:r>
        </w:p>
      </w:tc>
    </w:tr>
  </w:tbl>
  <w:p>
    <w:pPr>
      <w:pStyle w:val="971"/>
      <w:pBdr/>
      <w:spacing/>
      <w:ind/>
      <w:jc w:val="center"/>
      <w:rPr/>
    </w:pPr>
    <w:r>
      <w:rPr>
        <w:sz w:val="16"/>
      </w:rPr>
    </w: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D8C6AB4">
    <w:pPr>
      <w:pStyle w:val="969"/>
      <w:pBdr/>
      <w:spacing/>
      <w:ind/>
      <w:rPr/>
    </w:pPr>
    <w:r/>
    <w:r/>
  </w:p>
  <w:tbl>
    <w:tblPr>
      <w:tblStyle w:val="1033"/>
      <w:tblW w:w="0" w:type="auto"/>
      <w:tblBorders/>
      <w:tblLayout w:type="fixed"/>
      <w:tblLook w:val="04A0" w:firstRow="1" w:lastRow="0" w:firstColumn="1" w:lastColumn="0" w:noHBand="0" w:noVBand="1"/>
    </w:tblPr>
    <w:tblGrid>
      <w:gridCol w:w="7674"/>
      <w:gridCol w:w="2409"/>
    </w:tblGrid>
    <w:tr>
      <w:trPr/>
      <w:tc>
        <w:tcPr>
          <w:tcBorders>
            <w:top w:val="none" w:color="000000" w:sz="4" w:space="0"/>
            <w:left w:val="none" w:color="000000" w:sz="4" w:space="0"/>
            <w:bottom w:val="none" w:color="000000" w:sz="4" w:space="0"/>
            <w:right w:val="none" w:color="000000" w:sz="4" w:space="0"/>
          </w:tcBorders>
          <w:tcW w:w="7674" w:type="dxa"/>
        </w:tcPr>
        <w:p w14:paraId="0010B06F">
          <w:pPr>
            <w:pStyle w:val="969"/>
            <w:pBdr/>
            <w:spacing/>
            <w:ind/>
            <w:rPr/>
          </w:pPr>
          <w:r>
            <w:rPr>
              <w:lang w:val="es-ES"/>
            </w:rPr>
            <w:t xml:space="preserve">Asset Management Policy (AMP)</w:t>
          </w:r>
          <w:r/>
        </w:p>
      </w:tc>
      <w:tc>
        <w:tcPr>
          <w:tcBorders>
            <w:top w:val="none" w:color="000000" w:sz="4" w:space="0"/>
            <w:left w:val="none" w:color="000000" w:sz="4" w:space="0"/>
            <w:bottom w:val="none" w:color="000000" w:sz="4" w:space="0"/>
            <w:right w:val="none" w:color="000000" w:sz="4" w:space="0"/>
          </w:tcBorders>
          <w:tcW w:w="2409" w:type="dxa"/>
        </w:tcPr>
        <w:p w14:paraId="7DF2328B">
          <w:pPr>
            <w:pStyle w:val="969"/>
            <w:pBdr/>
            <w:spacing/>
            <w:ind/>
            <w:rPr/>
          </w:pPr>
          <w:r>
            <mc:AlternateContent>
              <mc:Choice Requires="wpg">
                <w:drawing>
                  <wp:inline xmlns:wp="http://schemas.openxmlformats.org/drawingml/2006/wordprocessingDrawing" distT="0" distB="0" distL="0" distR="0">
                    <wp:extent cx="1510455" cy="377614"/>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732848" name=""/>
                            <pic:cNvPicPr>
                              <a:picLocks noChangeAspect="1"/>
                            </pic:cNvPicPr>
                            <pic:nvPr/>
                          </pic:nvPicPr>
                          <pic:blipFill rotWithShape="1">
                            <a:blip r:embed="rId1"/>
                            <a:stretch/>
                          </pic:blipFill>
                          <pic:spPr bwMode="auto">
                            <a:xfrm flipH="0" flipV="0">
                              <a:off x="0" y="0"/>
                              <a:ext cx="1510454" cy="3776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18.93pt;height:29.73pt;mso-wrap-distance-left:0.00pt;mso-wrap-distance-top:0.00pt;mso-wrap-distance-right:0.00pt;mso-wrap-distance-bottom:0.00pt;z-index:1;" stroked="false">
                    <v:imagedata r:id="rId1" o:title=""/>
                    <o:lock v:ext="edit" rotation="t"/>
                  </v:shape>
                </w:pict>
              </mc:Fallback>
            </mc:AlternateContent>
          </w:r>
          <w:r/>
        </w:p>
      </w:tc>
    </w:tr>
  </w:tbl>
  <w:p w14:paraId="149041BC">
    <w:pPr>
      <w:pStyle w:val="969"/>
      <w:pBdr/>
      <w:spacing/>
      <w:ind/>
      <w:rPr/>
    </w:pPr>
    <w: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lvl w:ilvl="0">
      <w:isLgl w:val="false"/>
      <w:lvlJc w:val="left"/>
      <w:lvlText w:val="%1."/>
      <w:numFmt w:val="decimal"/>
      <w:pPr>
        <w:pBdr/>
        <w:tabs>
          <w:tab w:val="num" w:leader="none" w:pos="1800"/>
        </w:tabs>
        <w:spacing/>
        <w:ind w:hanging="360" w:left="180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FFFFFF7D"/>
    <w:lvl w:ilvl="0">
      <w:isLgl w:val="false"/>
      <w:lvlJc w:val="left"/>
      <w:lvlText w:val="%1."/>
      <w:numFmt w:val="decimal"/>
      <w:pPr>
        <w:pBdr/>
        <w:tabs>
          <w:tab w:val="num" w:leader="none" w:pos="1440"/>
        </w:tabs>
        <w:spacing/>
        <w:ind w:hanging="360" w:left="144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FFFFFF7E"/>
    <w:lvl w:ilvl="0">
      <w:isLgl w:val="false"/>
      <w:lvlJc w:val="left"/>
      <w:lvlText w:val="%1."/>
      <w:numFmt w:val="decimal"/>
      <w:pPr>
        <w:pBdr/>
        <w:tabs>
          <w:tab w:val="num" w:leader="none" w:pos="1080"/>
        </w:tabs>
        <w:spacing/>
        <w:ind w:hanging="360" w:left="1080"/>
      </w:pPr>
      <w:pStyle w:val="1008"/>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FFFFFF7F"/>
    <w:lvl w:ilvl="0">
      <w:isLgl w:val="false"/>
      <w:lvlJc w:val="left"/>
      <w:lvlText w:val="%1."/>
      <w:numFmt w:val="decimal"/>
      <w:pPr>
        <w:pBdr/>
        <w:tabs>
          <w:tab w:val="num" w:leader="none" w:pos="720"/>
        </w:tabs>
        <w:spacing/>
        <w:ind w:hanging="360" w:left="720"/>
      </w:pPr>
      <w:pStyle w:val="1007"/>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FFFFFF81"/>
    <w:lvl w:ilvl="0">
      <w:isLgl w:val="false"/>
      <w:lvlJc w:val="left"/>
      <w:lvlText w:val=""/>
      <w:numFmt w:val="bullet"/>
      <w:pPr>
        <w:pBdr/>
        <w:tabs>
          <w:tab w:val="num" w:leader="none" w:pos="1440"/>
        </w:tabs>
        <w:spacing/>
        <w:ind w:hanging="360" w:left="1440"/>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FFFFFF82"/>
    <w:lvl w:ilvl="0">
      <w:isLgl w:val="false"/>
      <w:lvlJc w:val="left"/>
      <w:lvlText w:val=""/>
      <w:numFmt w:val="bullet"/>
      <w:pPr>
        <w:pBdr/>
        <w:tabs>
          <w:tab w:val="num" w:leader="none" w:pos="1080"/>
        </w:tabs>
        <w:spacing/>
        <w:ind w:hanging="360" w:left="1080"/>
      </w:pPr>
      <w:pStyle w:val="1005"/>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FFFFFF83"/>
    <w:lvl w:ilvl="0">
      <w:isLgl w:val="false"/>
      <w:lvlJc w:val="left"/>
      <w:lvlText w:val=""/>
      <w:numFmt w:val="bullet"/>
      <w:pPr>
        <w:pBdr/>
        <w:tabs>
          <w:tab w:val="num" w:leader="none" w:pos="720"/>
        </w:tabs>
        <w:spacing/>
        <w:ind w:hanging="360" w:left="720"/>
      </w:pPr>
      <w:pStyle w:val="1004"/>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FFFFFF88"/>
    <w:lvl w:ilvl="0">
      <w:isLgl w:val="false"/>
      <w:lvlJc w:val="left"/>
      <w:lvlText w:val="%1."/>
      <w:numFmt w:val="decimal"/>
      <w:pPr>
        <w:pBdr/>
        <w:tabs>
          <w:tab w:val="num" w:leader="none" w:pos="360"/>
        </w:tabs>
        <w:spacing/>
        <w:ind w:hanging="360" w:left="360"/>
      </w:pPr>
      <w:pStyle w:val="1006"/>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8">
    <w:nsid w:val="FFFFFF89"/>
    <w:lvl w:ilvl="0">
      <w:isLgl w:val="false"/>
      <w:lvlJc w:val="left"/>
      <w:lvlText w:val=""/>
      <w:numFmt w:val="bullet"/>
      <w:pPr>
        <w:pBdr/>
        <w:tabs>
          <w:tab w:val="num" w:leader="none" w:pos="360"/>
        </w:tabs>
        <w:spacing/>
        <w:ind w:hanging="360" w:left="360"/>
      </w:pPr>
      <w:pStyle w:val="1003"/>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24">
    <w:name w:val="Table Grid Light"/>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Plain Table 1"/>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Plain Table 2"/>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Plain Table 3"/>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Plain Table 4"/>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Plain Table 5"/>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1 Light"/>
    <w:basedOn w:val="98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1 Light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1 Light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1 Light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1 Light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1 Light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1 Light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2"/>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2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2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2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2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2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2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3"/>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3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3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3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3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3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3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4"/>
    <w:basedOn w:val="98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4 - Accent 1"/>
    <w:basedOn w:val="98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4 - Accent 2"/>
    <w:basedOn w:val="98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4 - Accent 3"/>
    <w:basedOn w:val="98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4 - Accent 4"/>
    <w:basedOn w:val="98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4 - Accent 5"/>
    <w:basedOn w:val="98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4 - Accent 6"/>
    <w:basedOn w:val="98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5 Dark"/>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5 Dark- Accent 1"/>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5 Dark - Accent 2"/>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5 Dark - Accent 3"/>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5 Dark- Accent 4"/>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5 Dark - Accent 5"/>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5 Dark - Accent 6"/>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66">
    <w:name w:val="Grid Table 6 Colorful - Accent 1"/>
    <w:basedOn w:val="98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67">
    <w:name w:val="Grid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68">
    <w:name w:val="Grid Table 6 Colorful - Accent 3"/>
    <w:basedOn w:val="98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69">
    <w:name w:val="Grid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70">
    <w:name w:val="Grid Table 6 Colorful - Accent 5"/>
    <w:basedOn w:val="98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1">
    <w:name w:val="Grid Table 6 Colorful - Accent 6"/>
    <w:basedOn w:val="98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2">
    <w:name w:val="Grid Table 7 Colorful"/>
    <w:basedOn w:val="98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7 Colorful - Accent 1"/>
    <w:basedOn w:val="98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7 Colorful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7 Colorful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7 Colorful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7 Colorful - Accent 5"/>
    <w:basedOn w:val="98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7 Colorful - Accent 6"/>
    <w:basedOn w:val="98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1 Light"/>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1 Light - Accent 1"/>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1 Light - Accent 2"/>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1 Light - Accent 3"/>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1 Light - Accent 4"/>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1 Light - Accent 5"/>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1 Light - Accent 6"/>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2"/>
    <w:basedOn w:val="98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2 - Accent 1"/>
    <w:basedOn w:val="98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2 - Accent 2"/>
    <w:basedOn w:val="98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2 - Accent 3"/>
    <w:basedOn w:val="98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2 - Accent 4"/>
    <w:basedOn w:val="98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2 - Accent 5"/>
    <w:basedOn w:val="98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2 - Accent 6"/>
    <w:basedOn w:val="98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3"/>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3 - Accent 1"/>
    <w:basedOn w:val="98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3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3 - Accent 3"/>
    <w:basedOn w:val="98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3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3 - Accent 5"/>
    <w:basedOn w:val="98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3 - Accent 6"/>
    <w:basedOn w:val="98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4"/>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4 - Accent 1"/>
    <w:basedOn w:val="98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4 - Accent 2"/>
    <w:basedOn w:val="98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4 - Accent 3"/>
    <w:basedOn w:val="98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4"/>
    <w:basedOn w:val="98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4 - Accent 5"/>
    <w:basedOn w:val="98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4 - Accent 6"/>
    <w:basedOn w:val="98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5 Dark"/>
    <w:basedOn w:val="98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8">
    <w:name w:val="List Table 5 Dark - Accent 1"/>
    <w:basedOn w:val="98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9">
    <w:name w:val="List Table 5 Dark - Accent 2"/>
    <w:basedOn w:val="98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5 Dark - Accent 3"/>
    <w:basedOn w:val="98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5 Dark - Accent 4"/>
    <w:basedOn w:val="98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2">
    <w:name w:val="List Table 5 Dark - Accent 5"/>
    <w:basedOn w:val="98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3">
    <w:name w:val="List Table 5 Dark - Accent 6"/>
    <w:basedOn w:val="98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4">
    <w:name w:val="List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6 Colorful - Accent 1"/>
    <w:basedOn w:val="98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6 Colorful - Accent 3"/>
    <w:basedOn w:val="98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6 Colorful - Accent 5"/>
    <w:basedOn w:val="98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6 Colorful - Accent 6"/>
    <w:basedOn w:val="98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7 Colorful"/>
    <w:basedOn w:val="98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22">
    <w:name w:val="List Table 7 Colorful - Accent 1"/>
    <w:basedOn w:val="98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23">
    <w:name w:val="List Table 7 Colorful - Accent 2"/>
    <w:basedOn w:val="98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4">
    <w:name w:val="List Table 7 Colorful - Accent 3"/>
    <w:basedOn w:val="98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5">
    <w:name w:val="List Table 7 Colorful - Accent 4"/>
    <w:basedOn w:val="98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6">
    <w:name w:val="List Table 7 Colorful - Accent 5"/>
    <w:basedOn w:val="98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7">
    <w:name w:val="List Table 7 Colorful - Accent 6"/>
    <w:basedOn w:val="98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28">
    <w:name w:val="Lined - Accent"/>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ned - Accent 1"/>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ned - Accent 2"/>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ned - Accent 3"/>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ned - Accent 4"/>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ned - Accent 5"/>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ned - Accent 6"/>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Bordered &amp; Lined - Accent"/>
    <w:basedOn w:val="98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Bordered &amp; Lined - Accent 1"/>
    <w:basedOn w:val="98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Bordered &amp; Lined - Accent 2"/>
    <w:basedOn w:val="98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Bordered &amp; Lined - Accent 3"/>
    <w:basedOn w:val="98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Bordered &amp; Lined - Accent 4"/>
    <w:basedOn w:val="98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Bordered &amp; Lined - Accent 5"/>
    <w:basedOn w:val="98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Bordered &amp; Lined - Accent 6"/>
    <w:basedOn w:val="98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Bordered"/>
    <w:basedOn w:val="98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Bordered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Bordered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Bordered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Bordered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Bordered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49">
    <w:name w:val="footnote text"/>
    <w:link w:val="950"/>
    <w:uiPriority w:val="99"/>
    <w:semiHidden/>
    <w:unhideWhenUsed/>
    <w:pPr>
      <w:pBdr/>
      <w:spacing w:after="0" w:line="240" w:lineRule="auto"/>
      <w:ind/>
    </w:pPr>
    <w:rPr>
      <w:sz w:val="20"/>
      <w:szCs w:val="20"/>
    </w:rPr>
  </w:style>
  <w:style w:type="character" w:styleId="950">
    <w:name w:val="Footnote Text Char"/>
    <w:basedOn w:val="982"/>
    <w:link w:val="949"/>
    <w:uiPriority w:val="99"/>
    <w:semiHidden/>
    <w:pPr>
      <w:pBdr/>
      <w:spacing/>
      <w:ind/>
    </w:pPr>
    <w:rPr>
      <w:sz w:val="20"/>
      <w:szCs w:val="20"/>
    </w:rPr>
  </w:style>
  <w:style w:type="character" w:styleId="951">
    <w:name w:val="footnote reference"/>
    <w:basedOn w:val="982"/>
    <w:uiPriority w:val="99"/>
    <w:semiHidden/>
    <w:unhideWhenUsed/>
    <w:pPr>
      <w:pBdr/>
      <w:spacing/>
      <w:ind/>
    </w:pPr>
    <w:rPr>
      <w:vertAlign w:val="superscript"/>
    </w:rPr>
  </w:style>
  <w:style w:type="paragraph" w:styleId="952">
    <w:name w:val="endnote text"/>
    <w:link w:val="953"/>
    <w:uiPriority w:val="99"/>
    <w:semiHidden/>
    <w:unhideWhenUsed/>
    <w:pPr>
      <w:pBdr/>
      <w:spacing w:after="0" w:line="240" w:lineRule="auto"/>
      <w:ind/>
    </w:pPr>
    <w:rPr>
      <w:sz w:val="20"/>
      <w:szCs w:val="20"/>
    </w:rPr>
  </w:style>
  <w:style w:type="character" w:styleId="953">
    <w:name w:val="Endnote Text Char"/>
    <w:basedOn w:val="982"/>
    <w:link w:val="952"/>
    <w:uiPriority w:val="99"/>
    <w:semiHidden/>
    <w:pPr>
      <w:pBdr/>
      <w:spacing/>
      <w:ind/>
    </w:pPr>
    <w:rPr>
      <w:sz w:val="20"/>
      <w:szCs w:val="20"/>
    </w:rPr>
  </w:style>
  <w:style w:type="character" w:styleId="954">
    <w:name w:val="endnote reference"/>
    <w:basedOn w:val="982"/>
    <w:uiPriority w:val="99"/>
    <w:semiHidden/>
    <w:unhideWhenUsed/>
    <w:pPr>
      <w:pBdr/>
      <w:spacing/>
      <w:ind/>
    </w:pPr>
    <w:rPr>
      <w:vertAlign w:val="superscript"/>
    </w:rPr>
  </w:style>
  <w:style w:type="character" w:styleId="955">
    <w:name w:val="Hyperlink"/>
    <w:basedOn w:val="982"/>
    <w:uiPriority w:val="99"/>
    <w:unhideWhenUsed/>
    <w:pPr>
      <w:pBdr/>
      <w:spacing/>
      <w:ind/>
    </w:pPr>
    <w:rPr>
      <w:color w:val="0563c1" w:themeColor="hyperlink"/>
      <w:u w:val="single"/>
    </w:rPr>
  </w:style>
  <w:style w:type="character" w:styleId="956">
    <w:name w:val="FollowedHyperlink"/>
    <w:basedOn w:val="982"/>
    <w:uiPriority w:val="99"/>
    <w:semiHidden/>
    <w:unhideWhenUsed/>
    <w:pPr>
      <w:pBdr/>
      <w:spacing/>
      <w:ind/>
    </w:pPr>
    <w:rPr>
      <w:color w:val="954f72" w:themeColor="followedHyperlink"/>
      <w:u w:val="single"/>
    </w:rPr>
  </w:style>
  <w:style w:type="paragraph" w:styleId="957">
    <w:name w:val="toc 1"/>
    <w:uiPriority w:val="39"/>
    <w:unhideWhenUsed/>
    <w:pPr>
      <w:pBdr/>
      <w:spacing w:after="100"/>
      <w:ind/>
    </w:pPr>
  </w:style>
  <w:style w:type="paragraph" w:styleId="958">
    <w:name w:val="toc 2"/>
    <w:uiPriority w:val="39"/>
    <w:unhideWhenUsed/>
    <w:pPr>
      <w:pBdr/>
      <w:spacing w:after="100"/>
      <w:ind w:left="220"/>
    </w:pPr>
  </w:style>
  <w:style w:type="paragraph" w:styleId="959">
    <w:name w:val="toc 3"/>
    <w:uiPriority w:val="39"/>
    <w:unhideWhenUsed/>
    <w:pPr>
      <w:pBdr/>
      <w:spacing w:after="100"/>
      <w:ind w:left="440"/>
    </w:pPr>
  </w:style>
  <w:style w:type="paragraph" w:styleId="960">
    <w:name w:val="toc 4"/>
    <w:uiPriority w:val="39"/>
    <w:unhideWhenUsed/>
    <w:pPr>
      <w:pBdr/>
      <w:spacing w:after="100"/>
      <w:ind w:left="660"/>
    </w:pPr>
  </w:style>
  <w:style w:type="paragraph" w:styleId="961">
    <w:name w:val="toc 5"/>
    <w:uiPriority w:val="39"/>
    <w:unhideWhenUsed/>
    <w:pPr>
      <w:pBdr/>
      <w:spacing w:after="100"/>
      <w:ind w:left="880"/>
    </w:pPr>
  </w:style>
  <w:style w:type="paragraph" w:styleId="962">
    <w:name w:val="toc 6"/>
    <w:uiPriority w:val="39"/>
    <w:unhideWhenUsed/>
    <w:pPr>
      <w:pBdr/>
      <w:spacing w:after="100"/>
      <w:ind w:left="1100"/>
    </w:pPr>
  </w:style>
  <w:style w:type="paragraph" w:styleId="963">
    <w:name w:val="toc 7"/>
    <w:uiPriority w:val="39"/>
    <w:unhideWhenUsed/>
    <w:pPr>
      <w:pBdr/>
      <w:spacing w:after="100"/>
      <w:ind w:left="1320"/>
    </w:pPr>
  </w:style>
  <w:style w:type="paragraph" w:styleId="964">
    <w:name w:val="toc 8"/>
    <w:uiPriority w:val="39"/>
    <w:unhideWhenUsed/>
    <w:pPr>
      <w:pBdr/>
      <w:spacing w:after="100"/>
      <w:ind w:left="1540"/>
    </w:pPr>
  </w:style>
  <w:style w:type="paragraph" w:styleId="965">
    <w:name w:val="toc 9"/>
    <w:uiPriority w:val="39"/>
    <w:unhideWhenUsed/>
    <w:pPr>
      <w:pBdr/>
      <w:spacing w:after="100"/>
      <w:ind w:left="1760"/>
    </w:pPr>
  </w:style>
  <w:style w:type="character" w:styleId="966">
    <w:name w:val="Placeholder Text"/>
    <w:basedOn w:val="982"/>
    <w:uiPriority w:val="99"/>
    <w:semiHidden/>
    <w:pPr>
      <w:pBdr/>
      <w:spacing/>
      <w:ind/>
    </w:pPr>
    <w:rPr>
      <w:color w:val="666666"/>
    </w:rPr>
  </w:style>
  <w:style w:type="paragraph" w:styleId="967">
    <w:name w:val="table of figures"/>
    <w:uiPriority w:val="99"/>
    <w:unhideWhenUsed/>
    <w:pPr>
      <w:pBdr/>
      <w:spacing w:after="0" w:afterAutospacing="0"/>
      <w:ind/>
    </w:pPr>
  </w:style>
  <w:style w:type="paragraph" w:styleId="968" w:default="1">
    <w:name w:val="Normal"/>
    <w:qFormat/>
    <w:pPr>
      <w:pBdr/>
      <w:spacing/>
      <w:ind/>
    </w:pPr>
  </w:style>
  <w:style w:type="paragraph" w:styleId="969">
    <w:name w:val="Header"/>
    <w:link w:val="970"/>
    <w:uiPriority w:val="99"/>
    <w:unhideWhenUsed/>
    <w:pPr>
      <w:pBdr/>
      <w:tabs>
        <w:tab w:val="center" w:leader="none" w:pos="4680"/>
        <w:tab w:val="right" w:leader="none" w:pos="9360"/>
      </w:tabs>
      <w:spacing w:after="0" w:line="240" w:lineRule="auto"/>
      <w:ind/>
    </w:pPr>
  </w:style>
  <w:style w:type="character" w:styleId="970" w:customStyle="1">
    <w:name w:val="Header Char"/>
    <w:basedOn w:val="982"/>
    <w:link w:val="969"/>
    <w:uiPriority w:val="99"/>
    <w:pPr>
      <w:pBdr/>
      <w:spacing/>
      <w:ind/>
    </w:pPr>
  </w:style>
  <w:style w:type="paragraph" w:styleId="971">
    <w:name w:val="Footer"/>
    <w:link w:val="972"/>
    <w:uiPriority w:val="99"/>
    <w:unhideWhenUsed/>
    <w:pPr>
      <w:pBdr/>
      <w:tabs>
        <w:tab w:val="center" w:leader="none" w:pos="4680"/>
        <w:tab w:val="right" w:leader="none" w:pos="9360"/>
      </w:tabs>
      <w:spacing w:after="0" w:line="240" w:lineRule="auto"/>
      <w:ind/>
    </w:pPr>
  </w:style>
  <w:style w:type="character" w:styleId="972" w:customStyle="1">
    <w:name w:val="Footer Char"/>
    <w:basedOn w:val="982"/>
    <w:link w:val="971"/>
    <w:uiPriority w:val="99"/>
    <w:pPr>
      <w:pBdr/>
      <w:spacing/>
      <w:ind/>
    </w:pPr>
  </w:style>
  <w:style w:type="paragraph" w:styleId="973">
    <w:name w:val="Heading 1"/>
    <w:link w:val="986"/>
    <w:uiPriority w:val="9"/>
    <w:qFormat/>
    <w:pPr>
      <w:keepNext w:val="true"/>
      <w:keepLines w:val="true"/>
      <w:pBdr/>
      <w:spacing w:after="0" w:before="480"/>
      <w:ind/>
      <w:outlineLvl w:val="0"/>
    </w:pPr>
    <w:rPr>
      <w:rFonts w:asciiTheme="majorHAnsi" w:hAnsiTheme="majorHAnsi" w:eastAsiaTheme="majorEastAsia" w:cstheme="majorBidi"/>
      <w:b/>
      <w:bCs/>
      <w:color w:val="365f91" w:themeColor="accent1" w:themeShade="BF"/>
      <w:sz w:val="28"/>
      <w:szCs w:val="28"/>
    </w:rPr>
  </w:style>
  <w:style w:type="paragraph" w:styleId="974">
    <w:name w:val="Heading 2"/>
    <w:link w:val="987"/>
    <w:uiPriority w:val="9"/>
    <w:unhideWhenUsed/>
    <w:qFormat/>
    <w:pPr>
      <w:keepNext w:val="true"/>
      <w:keepLines w:val="true"/>
      <w:pBdr/>
      <w:spacing w:after="0" w:before="200"/>
      <w:ind/>
      <w:outlineLvl w:val="1"/>
    </w:pPr>
    <w:rPr>
      <w:rFonts w:asciiTheme="majorHAnsi" w:hAnsiTheme="majorHAnsi" w:eastAsiaTheme="majorEastAsia" w:cstheme="majorBidi"/>
      <w:b/>
      <w:bCs/>
      <w:color w:val="4f81bd" w:themeColor="accent1"/>
      <w:sz w:val="26"/>
      <w:szCs w:val="26"/>
    </w:rPr>
  </w:style>
  <w:style w:type="paragraph" w:styleId="975">
    <w:name w:val="Heading 3"/>
    <w:link w:val="988"/>
    <w:uiPriority w:val="9"/>
    <w:unhideWhenUsed/>
    <w:qFormat/>
    <w:pPr>
      <w:keepNext w:val="true"/>
      <w:keepLines w:val="true"/>
      <w:pBdr/>
      <w:spacing w:after="0" w:before="200"/>
      <w:ind/>
      <w:outlineLvl w:val="2"/>
    </w:pPr>
    <w:rPr>
      <w:rFonts w:asciiTheme="majorHAnsi" w:hAnsiTheme="majorHAnsi" w:eastAsiaTheme="majorEastAsia" w:cstheme="majorBidi"/>
      <w:b/>
      <w:bCs/>
      <w:color w:val="4f81bd" w:themeColor="accent1"/>
    </w:rPr>
  </w:style>
  <w:style w:type="paragraph" w:styleId="976">
    <w:name w:val="Heading 4"/>
    <w:link w:val="1016"/>
    <w:uiPriority w:val="9"/>
    <w:semiHidden/>
    <w:unhideWhenUsed/>
    <w:qFormat/>
    <w:pPr>
      <w:keepNext w:val="true"/>
      <w:keepLines w:val="true"/>
      <w:pBdr/>
      <w:spacing w:after="0" w:before="200"/>
      <w:ind/>
      <w:outlineLvl w:val="3"/>
    </w:pPr>
    <w:rPr>
      <w:rFonts w:asciiTheme="majorHAnsi" w:hAnsiTheme="majorHAnsi" w:eastAsiaTheme="majorEastAsia" w:cstheme="majorBidi"/>
      <w:b/>
      <w:bCs/>
      <w:i/>
      <w:iCs/>
      <w:color w:val="4f81bd" w:themeColor="accent1"/>
    </w:rPr>
  </w:style>
  <w:style w:type="paragraph" w:styleId="977">
    <w:name w:val="Heading 5"/>
    <w:link w:val="1017"/>
    <w:uiPriority w:val="9"/>
    <w:semiHidden/>
    <w:unhideWhenUsed/>
    <w:qFormat/>
    <w:pPr>
      <w:keepNext w:val="true"/>
      <w:keepLines w:val="true"/>
      <w:pBdr/>
      <w:spacing w:after="0" w:before="200"/>
      <w:ind/>
      <w:outlineLvl w:val="4"/>
    </w:pPr>
    <w:rPr>
      <w:rFonts w:asciiTheme="majorHAnsi" w:hAnsiTheme="majorHAnsi" w:eastAsiaTheme="majorEastAsia" w:cstheme="majorBidi"/>
      <w:color w:val="243f60" w:themeColor="accent1" w:themeShade="7F"/>
    </w:rPr>
  </w:style>
  <w:style w:type="paragraph" w:styleId="978">
    <w:name w:val="Heading 6"/>
    <w:link w:val="1018"/>
    <w:uiPriority w:val="9"/>
    <w:semiHidden/>
    <w:unhideWhenUsed/>
    <w:qFormat/>
    <w:pPr>
      <w:keepNext w:val="true"/>
      <w:keepLines w:val="true"/>
      <w:pBdr/>
      <w:spacing w:after="0" w:before="200"/>
      <w:ind/>
      <w:outlineLvl w:val="5"/>
    </w:pPr>
    <w:rPr>
      <w:rFonts w:asciiTheme="majorHAnsi" w:hAnsiTheme="majorHAnsi" w:eastAsiaTheme="majorEastAsia" w:cstheme="majorBidi"/>
      <w:i/>
      <w:iCs/>
      <w:color w:val="243f60" w:themeColor="accent1" w:themeShade="7F"/>
    </w:rPr>
  </w:style>
  <w:style w:type="paragraph" w:styleId="979">
    <w:name w:val="Heading 7"/>
    <w:link w:val="1019"/>
    <w:uiPriority w:val="9"/>
    <w:semiHidden/>
    <w:unhideWhenUsed/>
    <w:qFormat/>
    <w:pPr>
      <w:keepNext w:val="true"/>
      <w:keepLines w:val="true"/>
      <w:pBdr/>
      <w:spacing w:after="0" w:before="200"/>
      <w:ind/>
      <w:outlineLvl w:val="6"/>
    </w:pPr>
    <w:rPr>
      <w:rFonts w:asciiTheme="majorHAnsi" w:hAnsiTheme="majorHAnsi" w:eastAsiaTheme="majorEastAsia" w:cstheme="majorBidi"/>
      <w:i/>
      <w:iCs/>
      <w:color w:val="404040" w:themeColor="text1" w:themeTint="BF"/>
    </w:rPr>
  </w:style>
  <w:style w:type="paragraph" w:styleId="980">
    <w:name w:val="Heading 8"/>
    <w:link w:val="1020"/>
    <w:uiPriority w:val="9"/>
    <w:semiHidden/>
    <w:unhideWhenUsed/>
    <w:qFormat/>
    <w:pPr>
      <w:keepNext w:val="true"/>
      <w:keepLines w:val="true"/>
      <w:pBdr/>
      <w:spacing w:after="0" w:before="200"/>
      <w:ind/>
      <w:outlineLvl w:val="7"/>
    </w:pPr>
    <w:rPr>
      <w:rFonts w:asciiTheme="majorHAnsi" w:hAnsiTheme="majorHAnsi" w:eastAsiaTheme="majorEastAsia" w:cstheme="majorBidi"/>
      <w:color w:val="4f81bd" w:themeColor="accent1"/>
      <w:sz w:val="20"/>
      <w:szCs w:val="20"/>
    </w:rPr>
  </w:style>
  <w:style w:type="paragraph" w:styleId="981">
    <w:name w:val="Heading 9"/>
    <w:link w:val="1021"/>
    <w:uiPriority w:val="9"/>
    <w:semiHidden/>
    <w:unhideWhenUsed/>
    <w:qFormat/>
    <w:pPr>
      <w:keepNext w:val="true"/>
      <w:keepLines w:val="true"/>
      <w:pBdr/>
      <w:spacing w:after="0" w:before="200"/>
      <w:ind/>
      <w:outlineLvl w:val="8"/>
    </w:pPr>
    <w:rPr>
      <w:rFonts w:asciiTheme="majorHAnsi" w:hAnsiTheme="majorHAnsi" w:eastAsiaTheme="majorEastAsia" w:cstheme="majorBidi"/>
      <w:i/>
      <w:iCs/>
      <w:color w:val="404040" w:themeColor="text1" w:themeTint="BF"/>
      <w:sz w:val="20"/>
      <w:szCs w:val="20"/>
    </w:rPr>
  </w:style>
  <w:style w:type="character" w:styleId="982" w:default="1">
    <w:name w:val="Default Paragraph Font"/>
    <w:uiPriority w:val="1"/>
    <w:semiHidden/>
    <w:unhideWhenUsed/>
    <w:pPr>
      <w:pBdr/>
      <w:spacing/>
      <w:ind/>
    </w:pPr>
  </w:style>
  <w:style w:type="table" w:styleId="98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4" w:default="1">
    <w:name w:val="No List"/>
    <w:uiPriority w:val="99"/>
    <w:semiHidden/>
    <w:unhideWhenUsed/>
    <w:pPr>
      <w:pBdr/>
      <w:spacing/>
      <w:ind/>
    </w:pPr>
  </w:style>
  <w:style w:type="paragraph" w:styleId="985">
    <w:name w:val="No Spacing"/>
    <w:uiPriority w:val="1"/>
    <w:qFormat/>
    <w:pPr>
      <w:pBdr/>
      <w:spacing w:after="0" w:line="240" w:lineRule="auto"/>
      <w:ind/>
    </w:pPr>
  </w:style>
  <w:style w:type="character" w:styleId="986" w:customStyle="1">
    <w:name w:val="Heading 1 Char"/>
    <w:basedOn w:val="982"/>
    <w:uiPriority w:val="9"/>
    <w:pPr>
      <w:pBdr/>
      <w:spacing/>
      <w:ind/>
    </w:pPr>
    <w:rPr>
      <w:rFonts w:asciiTheme="majorHAnsi" w:hAnsiTheme="majorHAnsi" w:eastAsiaTheme="majorEastAsia" w:cstheme="majorBidi"/>
      <w:b/>
      <w:bCs/>
      <w:color w:val="365f91" w:themeColor="accent1" w:themeShade="BF"/>
      <w:sz w:val="28"/>
      <w:szCs w:val="28"/>
    </w:rPr>
  </w:style>
  <w:style w:type="character" w:styleId="987" w:customStyle="1">
    <w:name w:val="Heading 2 Char"/>
    <w:basedOn w:val="982"/>
    <w:uiPriority w:val="9"/>
    <w:pPr>
      <w:pBdr/>
      <w:spacing/>
      <w:ind/>
    </w:pPr>
    <w:rPr>
      <w:rFonts w:asciiTheme="majorHAnsi" w:hAnsiTheme="majorHAnsi" w:eastAsiaTheme="majorEastAsia" w:cstheme="majorBidi"/>
      <w:b/>
      <w:bCs/>
      <w:color w:val="4f81bd" w:themeColor="accent1"/>
      <w:sz w:val="26"/>
      <w:szCs w:val="26"/>
    </w:rPr>
  </w:style>
  <w:style w:type="character" w:styleId="988" w:customStyle="1">
    <w:name w:val="Heading 3 Char"/>
    <w:basedOn w:val="982"/>
    <w:uiPriority w:val="9"/>
    <w:pPr>
      <w:pBdr/>
      <w:spacing/>
      <w:ind/>
    </w:pPr>
    <w:rPr>
      <w:rFonts w:asciiTheme="majorHAnsi" w:hAnsiTheme="majorHAnsi" w:eastAsiaTheme="majorEastAsia" w:cstheme="majorBidi"/>
      <w:b/>
      <w:bCs/>
      <w:color w:val="4f81bd" w:themeColor="accent1"/>
    </w:rPr>
  </w:style>
  <w:style w:type="paragraph" w:styleId="989">
    <w:name w:val="Title"/>
    <w:link w:val="990"/>
    <w:uiPriority w:val="10"/>
    <w:qFormat/>
    <w:pPr>
      <w:pBdr>
        <w:bottom w:val="single" w:color="4f81bd" w:themeColor="accent1" w:sz="8" w:space="4"/>
      </w:pBdr>
      <w:spacing w:after="300" w:line="240" w:lineRule="auto"/>
      <w:ind/>
      <w:contextualSpacing w:val="true"/>
    </w:pPr>
    <w:rPr>
      <w:rFonts w:asciiTheme="majorHAnsi" w:hAnsiTheme="majorHAnsi" w:eastAsiaTheme="majorEastAsia" w:cstheme="majorBidi"/>
      <w:color w:val="17365d" w:themeColor="text2" w:themeShade="BF"/>
      <w:spacing w:val="5"/>
      <w:sz w:val="52"/>
      <w:szCs w:val="52"/>
    </w:rPr>
  </w:style>
  <w:style w:type="character" w:styleId="990" w:customStyle="1">
    <w:name w:val="Title Char"/>
    <w:basedOn w:val="982"/>
    <w:link w:val="989"/>
    <w:uiPriority w:val="10"/>
    <w:pPr>
      <w:pBdr/>
      <w:spacing/>
      <w:ind/>
    </w:pPr>
    <w:rPr>
      <w:rFonts w:asciiTheme="majorHAnsi" w:hAnsiTheme="majorHAnsi" w:eastAsiaTheme="majorEastAsia" w:cstheme="majorBidi"/>
      <w:color w:val="17365d" w:themeColor="text2" w:themeShade="BF"/>
      <w:spacing w:val="5"/>
      <w:sz w:val="52"/>
      <w:szCs w:val="52"/>
    </w:rPr>
  </w:style>
  <w:style w:type="paragraph" w:styleId="991">
    <w:name w:val="Subtitle"/>
    <w:link w:val="992"/>
    <w:uiPriority w:val="11"/>
    <w:qFormat/>
    <w:pPr>
      <w:numPr>
        <w:ilvl w:val="1"/>
      </w:numPr>
      <w:pBdr/>
      <w:spacing/>
      <w:ind/>
    </w:pPr>
    <w:rPr>
      <w:rFonts w:asciiTheme="majorHAnsi" w:hAnsiTheme="majorHAnsi" w:eastAsiaTheme="majorEastAsia" w:cstheme="majorBidi"/>
      <w:i/>
      <w:iCs/>
      <w:color w:val="4f81bd" w:themeColor="accent1"/>
      <w:spacing w:val="15"/>
      <w:sz w:val="24"/>
      <w:szCs w:val="24"/>
    </w:rPr>
  </w:style>
  <w:style w:type="character" w:styleId="992" w:customStyle="1">
    <w:name w:val="Subtitle Char"/>
    <w:basedOn w:val="982"/>
    <w:link w:val="991"/>
    <w:uiPriority w:val="11"/>
    <w:pPr>
      <w:pBdr/>
      <w:spacing/>
      <w:ind/>
    </w:pPr>
    <w:rPr>
      <w:rFonts w:asciiTheme="majorHAnsi" w:hAnsiTheme="majorHAnsi" w:eastAsiaTheme="majorEastAsia" w:cstheme="majorBidi"/>
      <w:i/>
      <w:iCs/>
      <w:color w:val="4f81bd" w:themeColor="accent1"/>
      <w:spacing w:val="15"/>
      <w:sz w:val="24"/>
      <w:szCs w:val="24"/>
    </w:rPr>
  </w:style>
  <w:style w:type="paragraph" w:styleId="993">
    <w:name w:val="List Paragraph"/>
    <w:uiPriority w:val="34"/>
    <w:qFormat/>
    <w:pPr>
      <w:pBdr/>
      <w:spacing/>
      <w:ind w:left="720"/>
      <w:contextualSpacing w:val="true"/>
    </w:pPr>
  </w:style>
  <w:style w:type="paragraph" w:styleId="994">
    <w:name w:val="Body Text"/>
    <w:link w:val="995"/>
    <w:uiPriority w:val="99"/>
    <w:unhideWhenUsed/>
    <w:pPr>
      <w:pBdr/>
      <w:spacing w:after="120"/>
      <w:ind/>
    </w:pPr>
  </w:style>
  <w:style w:type="character" w:styleId="995" w:customStyle="1">
    <w:name w:val="Body Text Char"/>
    <w:basedOn w:val="982"/>
    <w:link w:val="994"/>
    <w:uiPriority w:val="99"/>
    <w:pPr>
      <w:pBdr/>
      <w:spacing/>
      <w:ind/>
    </w:pPr>
  </w:style>
  <w:style w:type="paragraph" w:styleId="996">
    <w:name w:val="Body Text 2"/>
    <w:link w:val="997"/>
    <w:uiPriority w:val="99"/>
    <w:unhideWhenUsed/>
    <w:pPr>
      <w:pBdr/>
      <w:spacing w:after="120" w:line="480" w:lineRule="auto"/>
      <w:ind/>
    </w:pPr>
  </w:style>
  <w:style w:type="character" w:styleId="997" w:customStyle="1">
    <w:name w:val="Body Text 2 Char"/>
    <w:basedOn w:val="982"/>
    <w:link w:val="996"/>
    <w:uiPriority w:val="99"/>
    <w:pPr>
      <w:pBdr/>
      <w:spacing/>
      <w:ind/>
    </w:pPr>
  </w:style>
  <w:style w:type="paragraph" w:styleId="998">
    <w:name w:val="Body Text 3"/>
    <w:link w:val="999"/>
    <w:uiPriority w:val="99"/>
    <w:unhideWhenUsed/>
    <w:pPr>
      <w:pBdr/>
      <w:spacing w:after="120"/>
      <w:ind/>
    </w:pPr>
    <w:rPr>
      <w:sz w:val="16"/>
      <w:szCs w:val="16"/>
    </w:rPr>
  </w:style>
  <w:style w:type="character" w:styleId="999" w:customStyle="1">
    <w:name w:val="Body Text 3 Char"/>
    <w:basedOn w:val="982"/>
    <w:link w:val="998"/>
    <w:uiPriority w:val="99"/>
    <w:pPr>
      <w:pBdr/>
      <w:spacing/>
      <w:ind/>
    </w:pPr>
    <w:rPr>
      <w:sz w:val="16"/>
      <w:szCs w:val="16"/>
    </w:rPr>
  </w:style>
  <w:style w:type="paragraph" w:styleId="1000">
    <w:name w:val="List"/>
    <w:uiPriority w:val="99"/>
    <w:unhideWhenUsed/>
    <w:pPr>
      <w:pBdr/>
      <w:spacing/>
      <w:ind w:hanging="360" w:left="360"/>
      <w:contextualSpacing w:val="true"/>
    </w:pPr>
  </w:style>
  <w:style w:type="paragraph" w:styleId="1001">
    <w:name w:val="List 2"/>
    <w:uiPriority w:val="99"/>
    <w:unhideWhenUsed/>
    <w:pPr>
      <w:pBdr/>
      <w:spacing/>
      <w:ind w:hanging="360" w:left="720"/>
      <w:contextualSpacing w:val="true"/>
    </w:pPr>
  </w:style>
  <w:style w:type="paragraph" w:styleId="1002">
    <w:name w:val="List 3"/>
    <w:uiPriority w:val="99"/>
    <w:unhideWhenUsed/>
    <w:pPr>
      <w:pBdr/>
      <w:spacing/>
      <w:ind w:hanging="360" w:left="1080"/>
      <w:contextualSpacing w:val="true"/>
    </w:pPr>
  </w:style>
  <w:style w:type="paragraph" w:styleId="1003">
    <w:name w:val="List Bullet"/>
    <w:uiPriority w:val="99"/>
    <w:unhideWhenUsed/>
    <w:pPr>
      <w:numPr>
        <w:numId w:val="1"/>
      </w:numPr>
      <w:pBdr/>
      <w:spacing/>
      <w:ind/>
      <w:contextualSpacing w:val="true"/>
    </w:pPr>
  </w:style>
  <w:style w:type="paragraph" w:styleId="1004">
    <w:name w:val="List Bullet 2"/>
    <w:uiPriority w:val="99"/>
    <w:unhideWhenUsed/>
    <w:pPr>
      <w:numPr>
        <w:numId w:val="2"/>
      </w:numPr>
      <w:pBdr/>
      <w:spacing/>
      <w:ind/>
      <w:contextualSpacing w:val="true"/>
    </w:pPr>
  </w:style>
  <w:style w:type="paragraph" w:styleId="1005">
    <w:name w:val="List Bullet 3"/>
    <w:uiPriority w:val="99"/>
    <w:unhideWhenUsed/>
    <w:pPr>
      <w:numPr>
        <w:numId w:val="3"/>
      </w:numPr>
      <w:pBdr/>
      <w:spacing/>
      <w:ind/>
      <w:contextualSpacing w:val="true"/>
    </w:pPr>
  </w:style>
  <w:style w:type="paragraph" w:styleId="1006">
    <w:name w:val="List Number"/>
    <w:uiPriority w:val="99"/>
    <w:unhideWhenUsed/>
    <w:pPr>
      <w:numPr>
        <w:numId w:val="5"/>
      </w:numPr>
      <w:pBdr/>
      <w:spacing/>
      <w:ind/>
      <w:contextualSpacing w:val="true"/>
    </w:pPr>
  </w:style>
  <w:style w:type="paragraph" w:styleId="1007">
    <w:name w:val="List Number 2"/>
    <w:uiPriority w:val="99"/>
    <w:unhideWhenUsed/>
    <w:pPr>
      <w:numPr>
        <w:numId w:val="6"/>
      </w:numPr>
      <w:pBdr/>
      <w:spacing/>
      <w:ind/>
      <w:contextualSpacing w:val="true"/>
    </w:pPr>
  </w:style>
  <w:style w:type="paragraph" w:styleId="1008">
    <w:name w:val="List Number 3"/>
    <w:uiPriority w:val="99"/>
    <w:unhideWhenUsed/>
    <w:pPr>
      <w:numPr>
        <w:numId w:val="7"/>
      </w:numPr>
      <w:pBdr/>
      <w:spacing/>
      <w:ind/>
      <w:contextualSpacing w:val="true"/>
    </w:pPr>
  </w:style>
  <w:style w:type="paragraph" w:styleId="1009">
    <w:name w:val="List Continue"/>
    <w:uiPriority w:val="99"/>
    <w:unhideWhenUsed/>
    <w:pPr>
      <w:pBdr/>
      <w:spacing w:after="120"/>
      <w:ind w:left="360"/>
      <w:contextualSpacing w:val="true"/>
    </w:pPr>
  </w:style>
  <w:style w:type="paragraph" w:styleId="1010">
    <w:name w:val="List Continue 2"/>
    <w:uiPriority w:val="99"/>
    <w:unhideWhenUsed/>
    <w:pPr>
      <w:pBdr/>
      <w:spacing w:after="120"/>
      <w:ind w:left="720"/>
      <w:contextualSpacing w:val="true"/>
    </w:pPr>
  </w:style>
  <w:style w:type="paragraph" w:styleId="1011">
    <w:name w:val="List Continue 3"/>
    <w:uiPriority w:val="99"/>
    <w:unhideWhenUsed/>
    <w:pPr>
      <w:pBdr/>
      <w:spacing w:after="120"/>
      <w:ind w:left="1080"/>
      <w:contextualSpacing w:val="true"/>
    </w:pPr>
  </w:style>
  <w:style w:type="paragraph" w:styleId="1012">
    <w:name w:val="macro"/>
    <w:link w:val="1013"/>
    <w:uiPriority w:val="99"/>
    <w:unhideWhenUsed/>
    <w:pPr>
      <w:pBdr/>
      <w:tabs>
        <w:tab w:val="left" w:leader="none" w:pos="576"/>
        <w:tab w:val="left" w:leader="none" w:pos="1152"/>
        <w:tab w:val="left" w:leader="none" w:pos="1728"/>
        <w:tab w:val="left" w:leader="none" w:pos="2304"/>
        <w:tab w:val="left" w:leader="none" w:pos="2880"/>
        <w:tab w:val="left" w:leader="none" w:pos="3456"/>
        <w:tab w:val="left" w:leader="none" w:pos="4032"/>
      </w:tabs>
      <w:spacing/>
      <w:ind/>
    </w:pPr>
    <w:rPr>
      <w:rFonts w:ascii="Courier" w:hAnsi="Courier"/>
      <w:sz w:val="20"/>
      <w:szCs w:val="20"/>
    </w:rPr>
  </w:style>
  <w:style w:type="character" w:styleId="1013" w:customStyle="1">
    <w:name w:val="Macro Text Char"/>
    <w:basedOn w:val="982"/>
    <w:link w:val="1012"/>
    <w:uiPriority w:val="99"/>
    <w:pPr>
      <w:pBdr/>
      <w:spacing/>
      <w:ind/>
    </w:pPr>
    <w:rPr>
      <w:rFonts w:ascii="Courier" w:hAnsi="Courier"/>
      <w:sz w:val="20"/>
      <w:szCs w:val="20"/>
    </w:rPr>
  </w:style>
  <w:style w:type="paragraph" w:styleId="1014">
    <w:name w:val="Quote"/>
    <w:link w:val="1015"/>
    <w:uiPriority w:val="29"/>
    <w:qFormat/>
    <w:pPr>
      <w:pBdr/>
      <w:spacing/>
      <w:ind/>
    </w:pPr>
    <w:rPr>
      <w:i/>
      <w:iCs/>
      <w:color w:val="000000" w:themeColor="text1"/>
    </w:rPr>
  </w:style>
  <w:style w:type="character" w:styleId="1015" w:customStyle="1">
    <w:name w:val="Quote Char"/>
    <w:basedOn w:val="982"/>
    <w:link w:val="1014"/>
    <w:uiPriority w:val="29"/>
    <w:pPr>
      <w:pBdr/>
      <w:spacing/>
      <w:ind/>
    </w:pPr>
    <w:rPr>
      <w:i/>
      <w:iCs/>
      <w:color w:val="000000" w:themeColor="text1"/>
    </w:rPr>
  </w:style>
  <w:style w:type="character" w:styleId="1016" w:customStyle="1">
    <w:name w:val="Heading 4 Char"/>
    <w:basedOn w:val="982"/>
    <w:link w:val="976"/>
    <w:uiPriority w:val="9"/>
    <w:semiHidden/>
    <w:pPr>
      <w:pBdr/>
      <w:spacing/>
      <w:ind/>
    </w:pPr>
    <w:rPr>
      <w:rFonts w:asciiTheme="majorHAnsi" w:hAnsiTheme="majorHAnsi" w:eastAsiaTheme="majorEastAsia" w:cstheme="majorBidi"/>
      <w:b/>
      <w:bCs/>
      <w:i/>
      <w:iCs/>
      <w:color w:val="4f81bd" w:themeColor="accent1"/>
    </w:rPr>
  </w:style>
  <w:style w:type="character" w:styleId="1017" w:customStyle="1">
    <w:name w:val="Heading 5 Char"/>
    <w:basedOn w:val="982"/>
    <w:link w:val="977"/>
    <w:uiPriority w:val="9"/>
    <w:semiHidden/>
    <w:pPr>
      <w:pBdr/>
      <w:spacing/>
      <w:ind/>
    </w:pPr>
    <w:rPr>
      <w:rFonts w:asciiTheme="majorHAnsi" w:hAnsiTheme="majorHAnsi" w:eastAsiaTheme="majorEastAsia" w:cstheme="majorBidi"/>
      <w:color w:val="243f60" w:themeColor="accent1" w:themeShade="7F"/>
    </w:rPr>
  </w:style>
  <w:style w:type="character" w:styleId="1018" w:customStyle="1">
    <w:name w:val="Heading 6 Char"/>
    <w:basedOn w:val="982"/>
    <w:link w:val="978"/>
    <w:uiPriority w:val="9"/>
    <w:semiHidden/>
    <w:pPr>
      <w:pBdr/>
      <w:spacing/>
      <w:ind/>
    </w:pPr>
    <w:rPr>
      <w:rFonts w:asciiTheme="majorHAnsi" w:hAnsiTheme="majorHAnsi" w:eastAsiaTheme="majorEastAsia" w:cstheme="majorBidi"/>
      <w:i/>
      <w:iCs/>
      <w:color w:val="243f60" w:themeColor="accent1" w:themeShade="7F"/>
    </w:rPr>
  </w:style>
  <w:style w:type="character" w:styleId="1019" w:customStyle="1">
    <w:name w:val="Heading 7 Char"/>
    <w:basedOn w:val="982"/>
    <w:link w:val="979"/>
    <w:uiPriority w:val="9"/>
    <w:semiHidden/>
    <w:pPr>
      <w:pBdr/>
      <w:spacing/>
      <w:ind/>
    </w:pPr>
    <w:rPr>
      <w:rFonts w:asciiTheme="majorHAnsi" w:hAnsiTheme="majorHAnsi" w:eastAsiaTheme="majorEastAsia" w:cstheme="majorBidi"/>
      <w:i/>
      <w:iCs/>
      <w:color w:val="404040" w:themeColor="text1" w:themeTint="BF"/>
    </w:rPr>
  </w:style>
  <w:style w:type="character" w:styleId="1020" w:customStyle="1">
    <w:name w:val="Heading 8 Char"/>
    <w:basedOn w:val="982"/>
    <w:link w:val="980"/>
    <w:uiPriority w:val="9"/>
    <w:semiHidden/>
    <w:pPr>
      <w:pBdr/>
      <w:spacing/>
      <w:ind/>
    </w:pPr>
    <w:rPr>
      <w:rFonts w:asciiTheme="majorHAnsi" w:hAnsiTheme="majorHAnsi" w:eastAsiaTheme="majorEastAsia" w:cstheme="majorBidi"/>
      <w:color w:val="4f81bd" w:themeColor="accent1"/>
      <w:sz w:val="20"/>
      <w:szCs w:val="20"/>
    </w:rPr>
  </w:style>
  <w:style w:type="character" w:styleId="1021" w:customStyle="1">
    <w:name w:val="Heading 9 Char"/>
    <w:basedOn w:val="982"/>
    <w:link w:val="981"/>
    <w:uiPriority w:val="9"/>
    <w:semiHidden/>
    <w:pPr>
      <w:pBdr/>
      <w:spacing/>
      <w:ind/>
    </w:pPr>
    <w:rPr>
      <w:rFonts w:asciiTheme="majorHAnsi" w:hAnsiTheme="majorHAnsi" w:eastAsiaTheme="majorEastAsia" w:cstheme="majorBidi"/>
      <w:i/>
      <w:iCs/>
      <w:color w:val="404040" w:themeColor="text1" w:themeTint="BF"/>
      <w:sz w:val="20"/>
      <w:szCs w:val="20"/>
    </w:rPr>
  </w:style>
  <w:style w:type="paragraph" w:styleId="1022">
    <w:name w:val="Caption"/>
    <w:uiPriority w:val="35"/>
    <w:semiHidden/>
    <w:unhideWhenUsed/>
    <w:qFormat/>
    <w:pPr>
      <w:pBdr/>
      <w:spacing w:line="240" w:lineRule="auto"/>
      <w:ind/>
    </w:pPr>
    <w:rPr>
      <w:b/>
      <w:bCs/>
      <w:color w:val="4f81bd" w:themeColor="accent1"/>
      <w:sz w:val="18"/>
      <w:szCs w:val="18"/>
    </w:rPr>
  </w:style>
  <w:style w:type="character" w:styleId="1023">
    <w:name w:val="Strong"/>
    <w:basedOn w:val="982"/>
    <w:uiPriority w:val="22"/>
    <w:qFormat/>
    <w:pPr>
      <w:pBdr/>
      <w:spacing/>
      <w:ind/>
    </w:pPr>
    <w:rPr>
      <w:b/>
      <w:bCs/>
    </w:rPr>
  </w:style>
  <w:style w:type="character" w:styleId="1024">
    <w:name w:val="Emphasis"/>
    <w:basedOn w:val="982"/>
    <w:uiPriority w:val="20"/>
    <w:qFormat/>
    <w:pPr>
      <w:pBdr/>
      <w:spacing/>
      <w:ind/>
    </w:pPr>
    <w:rPr>
      <w:i/>
      <w:iCs/>
    </w:rPr>
  </w:style>
  <w:style w:type="paragraph" w:styleId="1025">
    <w:name w:val="Intense Quote"/>
    <w:link w:val="1026"/>
    <w:uiPriority w:val="30"/>
    <w:qFormat/>
    <w:pPr>
      <w:pBdr>
        <w:bottom w:val="single" w:color="4f81bd" w:themeColor="accent1" w:sz="4" w:space="4"/>
      </w:pBdr>
      <w:spacing w:after="280" w:before="200"/>
      <w:ind w:right="936" w:left="936"/>
    </w:pPr>
    <w:rPr>
      <w:b/>
      <w:bCs/>
      <w:i/>
      <w:iCs/>
      <w:color w:val="4f81bd" w:themeColor="accent1"/>
    </w:rPr>
  </w:style>
  <w:style w:type="character" w:styleId="1026" w:customStyle="1">
    <w:name w:val="Intense Quote Char"/>
    <w:basedOn w:val="982"/>
    <w:link w:val="1025"/>
    <w:uiPriority w:val="30"/>
    <w:pPr>
      <w:pBdr/>
      <w:spacing/>
      <w:ind/>
    </w:pPr>
    <w:rPr>
      <w:b/>
      <w:bCs/>
      <w:i/>
      <w:iCs/>
      <w:color w:val="4f81bd" w:themeColor="accent1"/>
    </w:rPr>
  </w:style>
  <w:style w:type="character" w:styleId="1027">
    <w:name w:val="Subtle Emphasis"/>
    <w:basedOn w:val="982"/>
    <w:uiPriority w:val="19"/>
    <w:qFormat/>
    <w:pPr>
      <w:pBdr/>
      <w:spacing/>
      <w:ind/>
    </w:pPr>
    <w:rPr>
      <w:i/>
      <w:iCs/>
      <w:color w:val="808080" w:themeColor="text1" w:themeTint="7F"/>
    </w:rPr>
  </w:style>
  <w:style w:type="character" w:styleId="1028">
    <w:name w:val="Intense Emphasis"/>
    <w:basedOn w:val="982"/>
    <w:uiPriority w:val="21"/>
    <w:qFormat/>
    <w:pPr>
      <w:pBdr/>
      <w:spacing/>
      <w:ind/>
    </w:pPr>
    <w:rPr>
      <w:b/>
      <w:bCs/>
      <w:i/>
      <w:iCs/>
      <w:color w:val="4f81bd" w:themeColor="accent1"/>
    </w:rPr>
  </w:style>
  <w:style w:type="character" w:styleId="1029">
    <w:name w:val="Subtle Reference"/>
    <w:basedOn w:val="982"/>
    <w:uiPriority w:val="31"/>
    <w:qFormat/>
    <w:pPr>
      <w:pBdr/>
      <w:spacing/>
      <w:ind/>
    </w:pPr>
    <w:rPr>
      <w:smallCaps/>
      <w:color w:val="c0504d" w:themeColor="accent2"/>
      <w:u w:val="single"/>
    </w:rPr>
  </w:style>
  <w:style w:type="character" w:styleId="1030">
    <w:name w:val="Intense Reference"/>
    <w:basedOn w:val="982"/>
    <w:uiPriority w:val="32"/>
    <w:qFormat/>
    <w:pPr>
      <w:pBdr/>
      <w:spacing/>
      <w:ind/>
    </w:pPr>
    <w:rPr>
      <w:b/>
      <w:bCs/>
      <w:smallCaps/>
      <w:color w:val="c0504d" w:themeColor="accent2"/>
      <w:spacing w:val="5"/>
      <w:u w:val="single"/>
    </w:rPr>
  </w:style>
  <w:style w:type="character" w:styleId="1031">
    <w:name w:val="Book Title"/>
    <w:basedOn w:val="982"/>
    <w:uiPriority w:val="33"/>
    <w:qFormat/>
    <w:pPr>
      <w:pBdr/>
      <w:spacing/>
      <w:ind/>
    </w:pPr>
    <w:rPr>
      <w:b/>
      <w:bCs/>
      <w:smallCaps/>
      <w:spacing w:val="5"/>
    </w:rPr>
  </w:style>
  <w:style w:type="paragraph" w:styleId="1032">
    <w:name w:val="TOC Heading"/>
    <w:uiPriority w:val="39"/>
    <w:semiHidden/>
    <w:unhideWhenUsed/>
    <w:qFormat/>
    <w:pPr>
      <w:pBdr/>
      <w:spacing/>
      <w:ind/>
      <w:outlineLvl w:val="9"/>
    </w:pPr>
  </w:style>
  <w:style w:type="table" w:styleId="1033">
    <w:name w:val="Table Grid"/>
    <w:basedOn w:val="983"/>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ght Shading"/>
    <w:basedOn w:val="983"/>
    <w:uiPriority w:val="60"/>
    <w:pPr>
      <w:pBdr/>
      <w:spacing w:after="0" w:line="240" w:lineRule="auto"/>
      <w:ind/>
    </w:pPr>
    <w:rPr>
      <w:color w:val="000000" w:themeColor="text1" w:themeShade="BF"/>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left w:val="none" w:color="000000" w:sz="4" w:space="0"/>
          <w:right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ght Shading Accent 1"/>
    <w:basedOn w:val="983"/>
    <w:uiPriority w:val="60"/>
    <w:pPr>
      <w:pBdr/>
      <w:spacing w:after="0" w:line="240" w:lineRule="auto"/>
      <w:ind/>
    </w:pPr>
    <w:rPr>
      <w:color w:val="365f91" w:themeColor="accent1" w:themeShade="BF"/>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ght Shading Accent 2"/>
    <w:basedOn w:val="983"/>
    <w:uiPriority w:val="60"/>
    <w:pPr>
      <w:pBdr/>
      <w:spacing w:after="0" w:line="240" w:lineRule="auto"/>
      <w:ind/>
    </w:pPr>
    <w:rPr>
      <w:color w:val="943634" w:themeColor="accent2" w:themeShade="BF"/>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ght Shading Accent 3"/>
    <w:basedOn w:val="983"/>
    <w:uiPriority w:val="60"/>
    <w:pPr>
      <w:pBdr/>
      <w:spacing w:after="0" w:line="240" w:lineRule="auto"/>
      <w:ind/>
    </w:pPr>
    <w:rPr>
      <w:color w:val="76923c" w:themeColor="accent3" w:themeShade="BF"/>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ght Shading Accent 4"/>
    <w:basedOn w:val="983"/>
    <w:uiPriority w:val="60"/>
    <w:pPr>
      <w:pBdr/>
      <w:spacing w:after="0" w:line="240" w:lineRule="auto"/>
      <w:ind/>
    </w:pPr>
    <w:rPr>
      <w:color w:val="5f497a" w:themeColor="accent4" w:themeShade="BF"/>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ght Shading Accent 5"/>
    <w:basedOn w:val="983"/>
    <w:uiPriority w:val="60"/>
    <w:pPr>
      <w:pBdr/>
      <w:spacing w:after="0" w:line="240" w:lineRule="auto"/>
      <w:ind/>
    </w:pPr>
    <w:rPr>
      <w:color w:val="31849b" w:themeColor="accent5" w:themeShade="BF"/>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ght Shading Accent 6"/>
    <w:basedOn w:val="983"/>
    <w:uiPriority w:val="60"/>
    <w:pPr>
      <w:pBdr/>
      <w:spacing w:after="0" w:line="240" w:lineRule="auto"/>
      <w:ind/>
    </w:pPr>
    <w:rPr>
      <w:color w:val="e36c0a" w:themeColor="accent6" w:themeShade="BF"/>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Light List"/>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Light List Accent 1"/>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Light List Accent 2"/>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Light List Accent 3"/>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Light List Accent 4"/>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Light List Accent 5"/>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Light List Accent 6"/>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Light Grid"/>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tcBorders/>
    </w:tcPr>
    <w:tblStylePr w:type="band1Horz">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8" w:space="0"/>
          <w:left w:val="single" w:color="000000" w:themeColor="text1" w:sz="8" w:space="0"/>
          <w:bottom w:val="single" w:color="000000" w:themeColor="text1" w:sz="18" w:space="0"/>
          <w:right w:val="single" w:color="000000" w:themeColor="tex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Light Grid Accent 1"/>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8" w:space="0"/>
          <w:left w:val="single" w:color="4f81bd" w:themeColor="accent1" w:sz="8" w:space="0"/>
          <w:bottom w:val="single" w:color="4f81bd" w:themeColor="accent1" w:sz="18" w:space="0"/>
          <w:right w:val="single" w:color="4f81bd" w:themeColor="accen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name w:val="Light Grid Accent 2"/>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8" w:space="0"/>
          <w:left w:val="single" w:color="c0504d" w:themeColor="accent2" w:sz="8" w:space="0"/>
          <w:bottom w:val="single" w:color="c0504d" w:themeColor="accent2" w:sz="18" w:space="0"/>
          <w:right w:val="single" w:color="c0504d" w:themeColor="accent2" w:sz="8" w:space="0"/>
        </w:tcBorders>
      </w:tcPr>
    </w:tblStylePr>
    <w:tblStylePr w:type="lastCol">
      <w:rPr>
        <w:rFonts w:asciiTheme="majorHAnsi" w:hAnsiTheme="majorHAnsi" w:eastAsiaTheme="majorEastAsia" w:cstheme="majorBidi"/>
        <w:b/>
        <w:bCs/>
      </w:rPr>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name w:val="Light Grid Accent 3"/>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8" w:space="0"/>
          <w:left w:val="single" w:color="9bbb59" w:themeColor="accent3" w:sz="8" w:space="0"/>
          <w:bottom w:val="single" w:color="9bbb59" w:themeColor="accent3" w:sz="18" w:space="0"/>
          <w:right w:val="single" w:color="9bbb59" w:themeColor="accent3" w:sz="8" w:space="0"/>
        </w:tcBorders>
      </w:tcPr>
    </w:tblStylePr>
    <w:tblStylePr w:type="lastCol">
      <w:rPr>
        <w:rFonts w:asciiTheme="majorHAnsi" w:hAnsiTheme="majorHAnsi" w:eastAsiaTheme="majorEastAsia" w:cstheme="majorBidi"/>
        <w:b/>
        <w:bCs/>
      </w:rPr>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name w:val="Light Grid Accent 4"/>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8" w:space="0"/>
          <w:left w:val="single" w:color="8064a2" w:themeColor="accent4" w:sz="8" w:space="0"/>
          <w:bottom w:val="single" w:color="8064a2" w:themeColor="accent4" w:sz="18" w:space="0"/>
          <w:right w:val="single" w:color="8064a2" w:themeColor="accent4" w:sz="8" w:space="0"/>
        </w:tcBorders>
      </w:tcPr>
    </w:tblStylePr>
    <w:tblStylePr w:type="lastCol">
      <w:rPr>
        <w:rFonts w:asciiTheme="majorHAnsi" w:hAnsiTheme="majorHAnsi" w:eastAsiaTheme="majorEastAsia" w:cstheme="majorBidi"/>
        <w:b/>
        <w:bCs/>
      </w:rPr>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name w:val="Light Grid Accent 5"/>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8" w:space="0"/>
          <w:left w:val="single" w:color="4bacc6" w:themeColor="accent5" w:sz="8" w:space="0"/>
          <w:bottom w:val="single" w:color="4bacc6" w:themeColor="accent5" w:sz="18" w:space="0"/>
          <w:right w:val="single" w:color="4bacc6" w:themeColor="accent5"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name w:val="Light Grid Accent 6"/>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8" w:space="0"/>
          <w:left w:val="single" w:color="f79646" w:themeColor="accent6" w:sz="8" w:space="0"/>
          <w:bottom w:val="single" w:color="f79646" w:themeColor="accent6" w:sz="18" w:space="0"/>
          <w:right w:val="single" w:color="f79646" w:themeColor="accent6" w:sz="8" w:space="0"/>
        </w:tcBorders>
      </w:tcPr>
    </w:tblStylePr>
    <w:tblStylePr w:type="lastCol">
      <w:rPr>
        <w:rFonts w:asciiTheme="majorHAnsi" w:hAnsiTheme="majorHAnsi" w:eastAsiaTheme="majorEastAsia" w:cstheme="majorBidi"/>
        <w:b/>
        <w:bCs/>
      </w:rPr>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Medium Shading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name w:val="Medium Shading 1 Accent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name w:val="Medium Shading 1 Accent 2"/>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name w:val="Medium Shading 1 Accent 3"/>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name w:val="Medium Shading 1 Accent 4"/>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name w:val="Medium Shading 1 Accent 5"/>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name w:val="Medium Shading 1 Accent 6"/>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name w:val="Medium Shading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000000" w:themeFill="tex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000000" w:themeFill="tex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name w:val="Medium Shading 2 Accent 1"/>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f81bd" w:themeFill="accen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f81bd" w:themeFill="accen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name w:val="Medium Shading 2 Accent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c0504d" w:themeFill="accent2"/>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c0504d" w:themeFill="accent2"/>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name w:val="Medium Shading 2 Accent 3"/>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9bbb59" w:themeFill="accent3"/>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9bbb59" w:themeFill="accent3"/>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name w:val="Medium Shading 2 Accent 4"/>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8064a2" w:themeFill="accent4"/>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8064a2" w:themeFill="accent4"/>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name w:val="Medium Shading 2 Accent 5"/>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bacc6" w:themeFill="accent5"/>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bacc6" w:themeFill="accent5"/>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name w:val="Medium Shading 2 Accent 6"/>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f79646" w:themeFill="accent6"/>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f79646" w:themeFill="accent6"/>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name w:val="Medium Lis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000000" w:themeColor="text1" w:sz="8" w:space="0"/>
        </w:tcBorders>
      </w:tcPr>
    </w:tblStylePr>
    <w:tblStylePr w:type="lastCol">
      <w:rPr>
        <w:b/>
        <w:bCs/>
      </w:rPr>
      <w:pPr>
        <w:pBdr/>
        <w:spacing/>
        <w:ind/>
      </w:pPr>
      <w:tblPr>
        <w:tblBorders/>
      </w:tblPr>
      <w:tcPr>
        <w:tcBorders>
          <w:top w:val="single" w:color="000000" w:themeColor="text1" w:sz="8" w:space="0"/>
          <w:bottom w:val="single" w:color="000000" w:themeColor="text1" w:sz="8" w:space="0"/>
        </w:tcBorders>
      </w:tcPr>
    </w:tblStylePr>
    <w:tblStylePr w:type="lastRow">
      <w:rPr>
        <w:b/>
        <w:bCs/>
        <w:color w:val="1f497d" w:themeColor="text2"/>
      </w:rPr>
      <w:pPr>
        <w:pBdr/>
        <w:spacing/>
        <w:ind/>
      </w:pPr>
      <w:tblPr>
        <w:tblBorders/>
      </w:tblPr>
      <w:tcPr>
        <w:tcBorders>
          <w:top w:val="single" w:color="000000" w:themeColor="text1" w:sz="8" w:space="0"/>
          <w:bottom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name w:val="Medium List 1 Accen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f81bd" w:themeColor="accent1" w:sz="8" w:space="0"/>
        </w:tcBorders>
      </w:tcPr>
    </w:tblStylePr>
    <w:tblStylePr w:type="lastCol">
      <w:rPr>
        <w:b/>
        <w:bCs/>
      </w:rPr>
      <w:pPr>
        <w:pBdr/>
        <w:spacing/>
        <w:ind/>
      </w:pPr>
      <w:tblPr>
        <w:tblBorders/>
      </w:tblPr>
      <w:tcPr>
        <w:tcBorders>
          <w:top w:val="single" w:color="4f81bd" w:themeColor="accent1" w:sz="8" w:space="0"/>
          <w:bottom w:val="single" w:color="4f81bd" w:themeColor="accent1" w:sz="8" w:space="0"/>
        </w:tcBorders>
      </w:tcPr>
    </w:tblStylePr>
    <w:tblStylePr w:type="lastRow">
      <w:rPr>
        <w:b/>
        <w:bCs/>
        <w:color w:val="1f497d" w:themeColor="text2"/>
      </w:rPr>
      <w:pPr>
        <w:pBdr/>
        <w:spacing/>
        <w:ind/>
      </w:pPr>
      <w:tblPr>
        <w:tblBorders/>
      </w:tblPr>
      <w:tcPr>
        <w:tcBorders>
          <w:top w:val="single" w:color="4f81bd" w:themeColor="accent1" w:sz="8" w:space="0"/>
          <w:bottom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name w:val="Medium List 1 Accent 2"/>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c0504d" w:themeColor="accent2" w:sz="8" w:space="0"/>
        </w:tcBorders>
      </w:tcPr>
    </w:tblStylePr>
    <w:tblStylePr w:type="lastCol">
      <w:rPr>
        <w:b/>
        <w:bCs/>
      </w:rPr>
      <w:pPr>
        <w:pBdr/>
        <w:spacing/>
        <w:ind/>
      </w:pPr>
      <w:tblPr>
        <w:tblBorders/>
      </w:tblPr>
      <w:tcPr>
        <w:tcBorders>
          <w:top w:val="single" w:color="c0504d" w:themeColor="accent2" w:sz="8" w:space="0"/>
          <w:bottom w:val="single" w:color="c0504d" w:themeColor="accent2" w:sz="8" w:space="0"/>
        </w:tcBorders>
      </w:tcPr>
    </w:tblStylePr>
    <w:tblStylePr w:type="lastRow">
      <w:rPr>
        <w:b/>
        <w:bCs/>
        <w:color w:val="1f497d" w:themeColor="text2"/>
      </w:rPr>
      <w:pPr>
        <w:pBdr/>
        <w:spacing/>
        <w:ind/>
      </w:pPr>
      <w:tblPr>
        <w:tblBorders/>
      </w:tblPr>
      <w:tcPr>
        <w:tcBorders>
          <w:top w:val="single" w:color="c0504d" w:themeColor="accent2" w:sz="8" w:space="0"/>
          <w:bottom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name w:val="Medium List 1 Accent 3"/>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9bbb59" w:themeColor="accent3" w:sz="8" w:space="0"/>
        </w:tcBorders>
      </w:tcPr>
    </w:tblStylePr>
    <w:tblStylePr w:type="lastCol">
      <w:rPr>
        <w:b/>
        <w:bCs/>
      </w:rPr>
      <w:pPr>
        <w:pBdr/>
        <w:spacing/>
        <w:ind/>
      </w:pPr>
      <w:tblPr>
        <w:tblBorders/>
      </w:tblPr>
      <w:tcPr>
        <w:tcBorders>
          <w:top w:val="single" w:color="9bbb59" w:themeColor="accent3" w:sz="8" w:space="0"/>
          <w:bottom w:val="single" w:color="9bbb59" w:themeColor="accent3" w:sz="8" w:space="0"/>
        </w:tcBorders>
      </w:tcPr>
    </w:tblStylePr>
    <w:tblStylePr w:type="lastRow">
      <w:rPr>
        <w:b/>
        <w:bCs/>
        <w:color w:val="1f497d" w:themeColor="text2"/>
      </w:rPr>
      <w:pPr>
        <w:pBdr/>
        <w:spacing/>
        <w:ind/>
      </w:pPr>
      <w:tblPr>
        <w:tblBorders/>
      </w:tblPr>
      <w:tcPr>
        <w:tcBorders>
          <w:top w:val="single" w:color="9bbb59" w:themeColor="accent3" w:sz="8" w:space="0"/>
          <w:bottom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3">
    <w:name w:val="Medium List 1 Accent 4"/>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8064a2" w:themeColor="accent4" w:sz="8" w:space="0"/>
        </w:tcBorders>
      </w:tcPr>
    </w:tblStylePr>
    <w:tblStylePr w:type="lastCol">
      <w:rPr>
        <w:b/>
        <w:bCs/>
      </w:rPr>
      <w:pPr>
        <w:pBdr/>
        <w:spacing/>
        <w:ind/>
      </w:pPr>
      <w:tblPr>
        <w:tblBorders/>
      </w:tblPr>
      <w:tcPr>
        <w:tcBorders>
          <w:top w:val="single" w:color="8064a2" w:themeColor="accent4" w:sz="8" w:space="0"/>
          <w:bottom w:val="single" w:color="8064a2" w:themeColor="accent4" w:sz="8" w:space="0"/>
        </w:tcBorders>
      </w:tcPr>
    </w:tblStylePr>
    <w:tblStylePr w:type="lastRow">
      <w:rPr>
        <w:b/>
        <w:bCs/>
        <w:color w:val="1f497d" w:themeColor="text2"/>
      </w:rPr>
      <w:pPr>
        <w:pBdr/>
        <w:spacing/>
        <w:ind/>
      </w:pPr>
      <w:tblPr>
        <w:tblBorders/>
      </w:tblPr>
      <w:tcPr>
        <w:tcBorders>
          <w:top w:val="single" w:color="8064a2" w:themeColor="accent4" w:sz="8" w:space="0"/>
          <w:bottom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4">
    <w:name w:val="Medium List 1 Accent 5"/>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bacc6" w:themeColor="accent5" w:sz="8" w:space="0"/>
        </w:tcBorders>
      </w:tcPr>
    </w:tblStylePr>
    <w:tblStylePr w:type="lastCol">
      <w:rPr>
        <w:b/>
        <w:bCs/>
      </w:rPr>
      <w:pPr>
        <w:pBdr/>
        <w:spacing/>
        <w:ind/>
      </w:pPr>
      <w:tblPr>
        <w:tblBorders/>
      </w:tblPr>
      <w:tcPr>
        <w:tcBorders>
          <w:top w:val="single" w:color="4bacc6" w:themeColor="accent5" w:sz="8" w:space="0"/>
          <w:bottom w:val="single" w:color="4bacc6" w:themeColor="accent5" w:sz="8" w:space="0"/>
        </w:tcBorders>
      </w:tcPr>
    </w:tblStylePr>
    <w:tblStylePr w:type="lastRow">
      <w:rPr>
        <w:b/>
        <w:bCs/>
        <w:color w:val="1f497d" w:themeColor="text2"/>
      </w:rPr>
      <w:pPr>
        <w:pBdr/>
        <w:spacing/>
        <w:ind/>
      </w:pPr>
      <w:tblPr>
        <w:tblBorders/>
      </w:tblPr>
      <w:tcPr>
        <w:tcBorders>
          <w:top w:val="single" w:color="4bacc6" w:themeColor="accent5" w:sz="8" w:space="0"/>
          <w:bottom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5">
    <w:name w:val="Medium List 1 Accent 6"/>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f79646" w:themeColor="accent6" w:sz="8" w:space="0"/>
        </w:tcBorders>
      </w:tcPr>
    </w:tblStylePr>
    <w:tblStylePr w:type="lastCol">
      <w:rPr>
        <w:b/>
        <w:bCs/>
      </w:rPr>
      <w:pPr>
        <w:pBdr/>
        <w:spacing/>
        <w:ind/>
      </w:pPr>
      <w:tblPr>
        <w:tblBorders/>
      </w:tblPr>
      <w:tcPr>
        <w:tcBorders>
          <w:top w:val="single" w:color="f79646" w:themeColor="accent6" w:sz="8" w:space="0"/>
          <w:bottom w:val="single" w:color="f79646" w:themeColor="accent6" w:sz="8" w:space="0"/>
        </w:tcBorders>
      </w:tcPr>
    </w:tblStylePr>
    <w:tblStylePr w:type="lastRow">
      <w:rPr>
        <w:b/>
        <w:bCs/>
        <w:color w:val="1f497d" w:themeColor="text2"/>
      </w:rPr>
      <w:pPr>
        <w:pBdr/>
        <w:spacing/>
        <w:ind/>
      </w:pPr>
      <w:tblPr>
        <w:tblBorders/>
      </w:tblPr>
      <w:tcPr>
        <w:tcBorders>
          <w:top w:val="single" w:color="f79646" w:themeColor="accent6" w:sz="8" w:space="0"/>
          <w:bottom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6">
    <w:name w:val="Medium Lis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shd w:val="clear" w:color="auto" w:fill="c0c0c0" w:themeFill="text1" w:themeFillTint="3F"/>
        <w:tcBorders>
          <w:top w:val="none" w:color="000000" w:sz="4" w:space="0"/>
          <w:bottom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000000" w:themeColor="tex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000000" w:themeColor="tex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000000" w:themeColor="tex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000000" w:themeColor="tex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7">
    <w:name w:val="Medium List 2 Accent 1"/>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none" w:color="000000" w:sz="4" w:space="0"/>
          <w:bottom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f81bd" w:themeColor="accen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f81bd" w:themeColor="accen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f81bd" w:themeColor="accen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f81bd" w:themeColor="accen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8">
    <w:name w:val="Medium List 2 Accen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none" w:color="000000" w:sz="4" w:space="0"/>
          <w:bottom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c0504d" w:themeColor="accent2"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c0504d" w:themeColor="accent2"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c0504d" w:themeColor="accent2"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name w:val="Medium List 2 Accent 3"/>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none" w:color="000000" w:sz="4" w:space="0"/>
          <w:bottom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9bbb59" w:themeColor="accent3"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9bbb59" w:themeColor="accent3"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9bbb59" w:themeColor="accent3"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name w:val="Medium List 2 Accent 4"/>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none" w:color="000000" w:sz="4" w:space="0"/>
          <w:bottom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8064a2" w:themeColor="accent4"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8064a2" w:themeColor="accent4"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8064a2" w:themeColor="accent4"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1">
    <w:name w:val="Medium List 2 Accent 5"/>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none" w:color="000000" w:sz="4" w:space="0"/>
          <w:bottom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bacc6" w:themeColor="accent5"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bacc6" w:themeColor="accent5"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bacc6" w:themeColor="accent5"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2">
    <w:name w:val="Medium List 2 Accent 6"/>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none" w:color="000000" w:sz="4" w:space="0"/>
          <w:bottom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f79646" w:themeColor="accent6"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f79646" w:themeColor="accent6"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f79646" w:themeColor="accent6"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3">
    <w:name w:val="Medium Grid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404040" w:themeColor="tex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4">
    <w:name w:val="Medium Grid 1 Accent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ba0cd" w:themeColor="accen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5">
    <w:name w:val="Medium Grid 1 Accent 2"/>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cf7b79" w:themeColor="accent2"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6">
    <w:name w:val="Medium Grid 1 Accent 3"/>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b3cc82" w:themeColor="accent3"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7">
    <w:name w:val="Medium Grid 1 Accent 4"/>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9f8ab9" w:themeColor="accent4"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8">
    <w:name w:val="Medium Grid 1 Accent 5"/>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8c0d4" w:themeColor="accent5"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9">
    <w:name w:val="Medium Grid 1 Accent 6"/>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f9b074" w:themeColor="accent6"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0">
    <w:name w:val="Medium Grid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6e6e6" w:themeFill="text1" w:themeFillTint="19"/>
        <w:tcBorders/>
      </w:tcPr>
    </w:tblStylePr>
    <w:tblStylePr w:type="lastCol">
      <w:rPr>
        <w:b w:val="0"/>
        <w:bCs w:val="0"/>
        <w:color w:val="000000" w:themeColor="text1"/>
      </w:rPr>
      <w:pPr>
        <w:pBdr/>
        <w:spacing/>
        <w:ind/>
      </w:pPr>
      <w:tblPr>
        <w:tblBorders/>
      </w:tblPr>
      <w:tcPr>
        <w:shd w:val="clear" w:color="auto" w:fill="cccccc" w:themeFill="tex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1">
    <w:name w:val="Medium Grid 2 Accent 1"/>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2f8" w:themeFill="accent1" w:themeFillTint="19"/>
        <w:tcBorders/>
      </w:tcPr>
    </w:tblStylePr>
    <w:tblStylePr w:type="lastCol">
      <w:rPr>
        <w:b w:val="0"/>
        <w:bCs w:val="0"/>
        <w:color w:val="000000" w:themeColor="text1"/>
      </w:rPr>
      <w:pPr>
        <w:pBdr/>
        <w:spacing/>
        <w:ind/>
      </w:pPr>
      <w:tblPr>
        <w:tblBorders/>
      </w:tblPr>
      <w:tcPr>
        <w:shd w:val="clear" w:color="auto" w:fill="dbe5f1" w:themeFill="accen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2">
    <w:name w:val="Medium Grid 2 Accent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8eded" w:themeFill="accent2" w:themeFillTint="19"/>
        <w:tcBorders/>
      </w:tcPr>
    </w:tblStylePr>
    <w:tblStylePr w:type="lastCol">
      <w:rPr>
        <w:b w:val="0"/>
        <w:bCs w:val="0"/>
        <w:color w:val="000000" w:themeColor="text1"/>
      </w:rPr>
      <w:pPr>
        <w:pBdr/>
        <w:spacing/>
        <w:ind/>
      </w:pPr>
      <w:tblPr>
        <w:tblBorders/>
      </w:tblPr>
      <w:tcPr>
        <w:shd w:val="clear" w:color="auto" w:fill="f2dbdb" w:themeFill="accent2"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3">
    <w:name w:val="Medium Grid 2 Accent 3"/>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5f8ee" w:themeFill="accent3" w:themeFillTint="19"/>
        <w:tcBorders/>
      </w:tcPr>
    </w:tblStylePr>
    <w:tblStylePr w:type="lastCol">
      <w:rPr>
        <w:b w:val="0"/>
        <w:bCs w:val="0"/>
        <w:color w:val="000000" w:themeColor="text1"/>
      </w:rPr>
      <w:pPr>
        <w:pBdr/>
        <w:spacing/>
        <w:ind/>
      </w:pPr>
      <w:tblPr>
        <w:tblBorders/>
      </w:tblPr>
      <w:tcPr>
        <w:shd w:val="clear" w:color="auto" w:fill="eaf1dd" w:themeFill="accent3"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4">
    <w:name w:val="Medium Grid 2 Accent 4"/>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2eff6" w:themeFill="accent4" w:themeFillTint="19"/>
        <w:tcBorders/>
      </w:tcPr>
    </w:tblStylePr>
    <w:tblStylePr w:type="lastCol">
      <w:rPr>
        <w:b w:val="0"/>
        <w:bCs w:val="0"/>
        <w:color w:val="000000" w:themeColor="text1"/>
      </w:rPr>
      <w:pPr>
        <w:pBdr/>
        <w:spacing/>
        <w:ind/>
      </w:pPr>
      <w:tblPr>
        <w:tblBorders/>
      </w:tblPr>
      <w:tcPr>
        <w:shd w:val="clear" w:color="auto" w:fill="e5dfec" w:themeFill="accent4"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5">
    <w:name w:val="Medium Grid 2 Accent 5"/>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6f9" w:themeFill="accent5" w:themeFillTint="19"/>
        <w:tcBorders/>
      </w:tcPr>
    </w:tblStylePr>
    <w:tblStylePr w:type="lastCol">
      <w:rPr>
        <w:b w:val="0"/>
        <w:bCs w:val="0"/>
        <w:color w:val="000000" w:themeColor="text1"/>
      </w:rPr>
      <w:pPr>
        <w:pBdr/>
        <w:spacing/>
        <w:ind/>
      </w:pPr>
      <w:tblPr>
        <w:tblBorders/>
      </w:tblPr>
      <w:tcPr>
        <w:shd w:val="clear" w:color="auto" w:fill="daeef3" w:themeFill="accent5"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6">
    <w:name w:val="Medium Grid 2 Accent 6"/>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ef4ec" w:themeFill="accent6" w:themeFillTint="19"/>
        <w:tcBorders/>
      </w:tcPr>
    </w:tblStylePr>
    <w:tblStylePr w:type="lastCol">
      <w:rPr>
        <w:b w:val="0"/>
        <w:bCs w:val="0"/>
        <w:color w:val="000000" w:themeColor="text1"/>
      </w:rPr>
      <w:pPr>
        <w:pBdr/>
        <w:spacing/>
        <w:ind/>
      </w:pPr>
      <w:tblPr>
        <w:tblBorders/>
      </w:tblPr>
      <w:tcPr>
        <w:shd w:val="clear" w:color="auto" w:fill="fde9d9" w:themeFill="accent6"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7">
    <w:name w:val="Medium Grid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000000" w:themeFill="tex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000000" w:themeFill="tex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000000" w:themeFill="tex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000000" w:themeFill="tex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8">
    <w:name w:val="Medium Grid 3 Accent 1"/>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f81bd" w:themeFill="accen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f81bd" w:themeFill="accen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f81bd" w:themeFill="accen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f81bd" w:themeFill="accen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9">
    <w:name w:val="Medium Grid 3 Accent 2"/>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c0504d" w:themeFill="accent2"/>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c0504d" w:themeFill="accent2"/>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c0504d" w:themeFill="accent2"/>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c0504d" w:themeFill="accent2"/>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0">
    <w:name w:val="Medium Grid 3 Accent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9bbb59" w:themeFill="accent3"/>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9bbb59" w:themeFill="accent3"/>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9bbb59" w:themeFill="accent3"/>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9bbb59" w:themeFill="accent3"/>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1">
    <w:name w:val="Medium Grid 3 Accent 4"/>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8064a2" w:themeFill="accent4"/>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8064a2" w:themeFill="accent4"/>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8064a2" w:themeFill="accent4"/>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8064a2" w:themeFill="accent4"/>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2">
    <w:name w:val="Medium Grid 3 Accent 5"/>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bacc6" w:themeFill="accent5"/>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bacc6" w:themeFill="accent5"/>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bacc6" w:themeFill="accent5"/>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bacc6" w:themeFill="accent5"/>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3">
    <w:name w:val="Medium Grid 3 Accent 6"/>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f79646" w:themeFill="accent6"/>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f79646" w:themeFill="accent6"/>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f79646" w:themeFill="accent6"/>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f79646" w:themeFill="accent6"/>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4">
    <w:name w:val="Dark List"/>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000000" w:themeFill="text1"/>
      <w:tcBorders/>
    </w:tcPr>
    <w:tblStylePr w:type="band1Horz">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000000" w:themeFill="tex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000000" w:themeFill="tex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5">
    <w:name w:val="Dark List Accent 1"/>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f81bd" w:themeFill="accent1"/>
      <w:tcBorders/>
    </w:tcPr>
    <w:tblStylePr w:type="band1Horz">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65f91" w:themeFill="accen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43f60" w:themeFill="accen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6">
    <w:name w:val="Dark List Accent 2"/>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c0504d" w:themeFill="accent2"/>
      <w:tcBorders/>
    </w:tcPr>
    <w:tblStylePr w:type="band1Horz">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943634" w:themeFill="accent2"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622423" w:themeFill="accent2"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7">
    <w:name w:val="Dark List Accent 3"/>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9bbb59" w:themeFill="accent3"/>
      <w:tcBorders/>
    </w:tcPr>
    <w:tblStylePr w:type="band1Horz">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76923c" w:themeFill="accent3"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4e6128" w:themeFill="accent3"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8">
    <w:name w:val="Dark List Accent 4"/>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8064a2" w:themeFill="accent4"/>
      <w:tcBorders/>
    </w:tcPr>
    <w:tblStylePr w:type="band1Horz">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5f497a" w:themeFill="accent4"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3f3151" w:themeFill="accent4"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9">
    <w:name w:val="Dark List Accent 5"/>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bacc6" w:themeFill="accent5"/>
      <w:tcBorders/>
    </w:tcPr>
    <w:tblStylePr w:type="band1Horz">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1849b" w:themeFill="accent5"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05867" w:themeFill="accent5"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0">
    <w:name w:val="Dark List Accent 6"/>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f79646" w:themeFill="accent6"/>
      <w:tcBorders/>
    </w:tcPr>
    <w:tblStylePr w:type="band1Horz">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e36c0a" w:themeFill="accent6"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974706" w:themeFill="accent6"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1">
    <w:name w:val="Colorful Shading"/>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999999" w:themeFill="tex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000000" w:themeFill="tex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2">
    <w:name w:val="Colorful Shading Accent 1"/>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b8cce4" w:themeFill="accen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c4c74" w:themeFill="accen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3">
    <w:name w:val="Colorful Shading Accent 2"/>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e5b8b7" w:themeFill="accent2"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772c2a" w:themeFill="accent2"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4">
    <w:name w:val="Colorful Shading Accent 3"/>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d6e3bc" w:themeFill="accent3"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5e7530" w:themeFill="accent3" w:themeFillShade="99"/>
        <w:tcBorders>
          <w:top w:val="single" w:color="ffffff" w:themeColor="background1"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5">
    <w:name w:val="Colorful Shading Accent 4"/>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ccc0d9" w:themeFill="accent4"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4c3b62" w:themeFill="accent4"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6">
    <w:name w:val="Colorful Shading Accent 5"/>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b6dde8" w:themeFill="accent5"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76a7c" w:themeFill="accent5"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7">
    <w:name w:val="Colorful Shading Accent 6"/>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d4b4" w:themeFill="accent6"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b65608" w:themeFill="accent6"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8">
    <w:name w:val="Colorful List"/>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6e6e6" w:themeFill="text1" w:themeFillTint="19"/>
      <w:tcBorders/>
    </w:tcPr>
    <w:tblStylePr w:type="band1Horz">
      <w:pPr>
        <w:pBdr/>
        <w:spacing/>
        <w:ind/>
      </w:pPr>
      <w:tblPr>
        <w:tblBorders/>
      </w:tblPr>
      <w:tcPr>
        <w:shd w:val="clear" w:color="auto" w:fill="cccccc" w:themeFill="text1" w:themeFillTint="33"/>
        <w:tcBorders/>
      </w:tcPr>
    </w:tblStylePr>
    <w:tblStylePr w:type="band1Vert">
      <w:pPr>
        <w:pBdr/>
        <w:spacing/>
        <w:ind/>
      </w:pPr>
      <w:tblPr>
        <w:tblBorders/>
      </w:tblPr>
      <w:tcPr>
        <w:shd w:val="clear" w:color="auto" w:fill="c0c0c0" w:themeFill="tex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9">
    <w:name w:val="Colorful List Accent 1"/>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2f8" w:themeFill="accent1" w:themeFillTint="19"/>
      <w:tcBorders/>
    </w:tcPr>
    <w:tblStylePr w:type="band1Horz">
      <w:pPr>
        <w:pBdr/>
        <w:spacing/>
        <w:ind/>
      </w:pPr>
      <w:tblPr>
        <w:tblBorders/>
      </w:tblPr>
      <w:tcPr>
        <w:shd w:val="clear" w:color="auto" w:fill="dbe5f1" w:themeFill="accent1" w:themeFillTint="33"/>
        <w:tcBorders/>
      </w:tcPr>
    </w:tblStylePr>
    <w:tblStylePr w:type="band1Vert">
      <w:pPr>
        <w:pBdr/>
        <w:spacing/>
        <w:ind/>
      </w:pPr>
      <w:tblPr>
        <w:tblBorders/>
      </w:tblPr>
      <w:tcPr>
        <w:shd w:val="clear" w:color="auto" w:fill="d3dfee" w:themeFill="accen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0">
    <w:name w:val="Colorful List Accent 2"/>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8eded" w:themeFill="accent2" w:themeFillTint="19"/>
      <w:tcBorders/>
    </w:tcPr>
    <w:tblStylePr w:type="band1Horz">
      <w:pPr>
        <w:pBdr/>
        <w:spacing/>
        <w:ind/>
      </w:pPr>
      <w:tblPr>
        <w:tblBorders/>
      </w:tblPr>
      <w:tcPr>
        <w:shd w:val="clear" w:color="auto" w:fill="f2dbdb" w:themeFill="accent2" w:themeFillTint="33"/>
        <w:tcBorders/>
      </w:tcPr>
    </w:tblStylePr>
    <w:tblStylePr w:type="band1Vert">
      <w:pPr>
        <w:pBdr/>
        <w:spacing/>
        <w:ind/>
      </w:pPr>
      <w:tblPr>
        <w:tblBorders/>
      </w:tblPr>
      <w:tcPr>
        <w:shd w:val="clear" w:color="auto" w:fill="efd3d2" w:themeFill="accent2"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1">
    <w:name w:val="Colorful List Accent 3"/>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5f8ee" w:themeFill="accent3" w:themeFillTint="19"/>
      <w:tcBorders/>
    </w:tcPr>
    <w:tblStylePr w:type="band1Horz">
      <w:pPr>
        <w:pBdr/>
        <w:spacing/>
        <w:ind/>
      </w:pPr>
      <w:tblPr>
        <w:tblBorders/>
      </w:tblPr>
      <w:tcPr>
        <w:shd w:val="clear" w:color="auto" w:fill="eaf1dd" w:themeFill="accent3" w:themeFillTint="33"/>
        <w:tcBorders/>
      </w:tcPr>
    </w:tblStylePr>
    <w:tblStylePr w:type="band1Vert">
      <w:pPr>
        <w:pBdr/>
        <w:spacing/>
        <w:ind/>
      </w:pPr>
      <w:tblPr>
        <w:tblBorders/>
      </w:tblPr>
      <w:tcPr>
        <w:shd w:val="clear" w:color="auto" w:fill="e6eed5" w:themeFill="accent3"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664e82" w:themeFill="accent4"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664e82" w:themeColor="accent4"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2">
    <w:name w:val="Colorful List Accent 4"/>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2eff6" w:themeFill="accent4" w:themeFillTint="19"/>
      <w:tcBorders/>
    </w:tcPr>
    <w:tblStylePr w:type="band1Horz">
      <w:pPr>
        <w:pBdr/>
        <w:spacing/>
        <w:ind/>
      </w:pPr>
      <w:tblPr>
        <w:tblBorders/>
      </w:tblPr>
      <w:tcPr>
        <w:shd w:val="clear" w:color="auto" w:fill="e5dfec" w:themeFill="accent4" w:themeFillTint="33"/>
        <w:tcBorders/>
      </w:tcPr>
    </w:tblStylePr>
    <w:tblStylePr w:type="band1Vert">
      <w:pPr>
        <w:pBdr/>
        <w:spacing/>
        <w:ind/>
      </w:pPr>
      <w:tblPr>
        <w:tblBorders/>
      </w:tblPr>
      <w:tcPr>
        <w:shd w:val="clear" w:color="auto" w:fill="dfd8e8" w:themeFill="accent4"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7e9c40" w:themeFill="accent3"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7e9c40" w:themeColor="accent3"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3">
    <w:name w:val="Colorful List Accent 5"/>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6f9" w:themeFill="accent5" w:themeFillTint="19"/>
      <w:tcBorders/>
    </w:tcPr>
    <w:tblStylePr w:type="band1Horz">
      <w:pPr>
        <w:pBdr/>
        <w:spacing/>
        <w:ind/>
      </w:pPr>
      <w:tblPr>
        <w:tblBorders/>
      </w:tblPr>
      <w:tcPr>
        <w:shd w:val="clear" w:color="auto" w:fill="daeef3" w:themeFill="accent5" w:themeFillTint="33"/>
        <w:tcBorders/>
      </w:tcPr>
    </w:tblStylePr>
    <w:tblStylePr w:type="band1Vert">
      <w:pPr>
        <w:pBdr/>
        <w:spacing/>
        <w:ind/>
      </w:pPr>
      <w:tblPr>
        <w:tblBorders/>
      </w:tblPr>
      <w:tcPr>
        <w:shd w:val="clear" w:color="auto" w:fill="d2eaf1" w:themeFill="accent5"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f2730a" w:themeFill="accent6"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f2730a" w:themeColor="accent6"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4">
    <w:name w:val="Colorful List Accent 6"/>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ef4ec" w:themeFill="accent6" w:themeFillTint="19"/>
      <w:tcBorders/>
    </w:tcPr>
    <w:tblStylePr w:type="band1Horz">
      <w:pPr>
        <w:pBdr/>
        <w:spacing/>
        <w:ind/>
      </w:pPr>
      <w:tblPr>
        <w:tblBorders/>
      </w:tblPr>
      <w:tcPr>
        <w:shd w:val="clear" w:color="auto" w:fill="fde9d9" w:themeFill="accent6" w:themeFillTint="33"/>
        <w:tcBorders/>
      </w:tcPr>
    </w:tblStylePr>
    <w:tblStylePr w:type="band1Vert">
      <w:pPr>
        <w:pBdr/>
        <w:spacing/>
        <w:ind/>
      </w:pPr>
      <w:tblPr>
        <w:tblBorders/>
      </w:tblPr>
      <w:tcPr>
        <w:shd w:val="clear" w:color="auto" w:fill="fde4d0" w:themeFill="accent6"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348da5" w:themeFill="accent5"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348da5" w:themeColor="accent5"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5">
    <w:name w:val="Colorful Grid"/>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cccccc" w:themeFill="text1" w:themeFillTint="33"/>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BF"/>
        <w:tcBorders/>
      </w:tcPr>
    </w:tblStylePr>
    <w:tblStylePr w:type="firstRow">
      <w:rPr>
        <w:b/>
        <w:bCs/>
      </w:rPr>
      <w:pPr>
        <w:pBdr/>
        <w:spacing/>
        <w:ind/>
      </w:pPr>
      <w:tblPr>
        <w:tblBorders/>
      </w:tblPr>
      <w:tcPr>
        <w:shd w:val="clear" w:color="auto" w:fill="999999" w:themeFill="text1" w:themeFillTint="66"/>
        <w:tcBorders/>
      </w:tcPr>
    </w:tblStylePr>
    <w:tblStylePr w:type="lastCol">
      <w:rPr>
        <w:color w:val="ffffff" w:themeColor="background1"/>
      </w:rPr>
      <w:pPr>
        <w:pBdr/>
        <w:spacing/>
        <w:ind/>
      </w:pPr>
      <w:tblPr>
        <w:tblBorders/>
      </w:tblPr>
      <w:tcPr>
        <w:shd w:val="clear" w:color="auto" w:fill="000000" w:themeFill="text1" w:themeFillShade="BF"/>
        <w:tcBorders/>
      </w:tcPr>
    </w:tblStylePr>
    <w:tblStylePr w:type="lastRow">
      <w:rPr>
        <w:b/>
        <w:bCs/>
        <w:color w:val="000000" w:themeColor="text1"/>
      </w:rPr>
      <w:pPr>
        <w:pBdr/>
        <w:spacing/>
        <w:ind/>
      </w:pPr>
      <w:tblPr>
        <w:tblBorders/>
      </w:tblPr>
      <w:tcPr>
        <w:shd w:val="clear" w:color="auto" w:fill="999999" w:themeFill="tex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6">
    <w:name w:val="Colorful Grid Accent 1"/>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be5f1" w:themeFill="accent1" w:themeFillTint="33"/>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65f91" w:themeFill="accent1" w:themeFillShade="BF"/>
        <w:tcBorders/>
      </w:tcPr>
    </w:tblStylePr>
    <w:tblStylePr w:type="firstRow">
      <w:rPr>
        <w:b/>
        <w:bCs/>
      </w:rPr>
      <w:pPr>
        <w:pBdr/>
        <w:spacing/>
        <w:ind/>
      </w:pPr>
      <w:tblPr>
        <w:tblBorders/>
      </w:tblPr>
      <w:tcPr>
        <w:shd w:val="clear" w:color="auto" w:fill="b8cce4" w:themeFill="accent1" w:themeFillTint="66"/>
        <w:tcBorders/>
      </w:tcPr>
    </w:tblStylePr>
    <w:tblStylePr w:type="lastCol">
      <w:rPr>
        <w:color w:val="ffffff" w:themeColor="background1"/>
      </w:rPr>
      <w:pPr>
        <w:pBdr/>
        <w:spacing/>
        <w:ind/>
      </w:pPr>
      <w:tblPr>
        <w:tblBorders/>
      </w:tblPr>
      <w:tcPr>
        <w:shd w:val="clear" w:color="auto" w:fill="365f91" w:themeFill="accent1" w:themeFillShade="BF"/>
        <w:tcBorders/>
      </w:tcPr>
    </w:tblStylePr>
    <w:tblStylePr w:type="lastRow">
      <w:rPr>
        <w:b/>
        <w:bCs/>
        <w:color w:val="000000" w:themeColor="text1"/>
      </w:rPr>
      <w:pPr>
        <w:pBdr/>
        <w:spacing/>
        <w:ind/>
      </w:pPr>
      <w:tblPr>
        <w:tblBorders/>
      </w:tblPr>
      <w:tcPr>
        <w:shd w:val="clear" w:color="auto" w:fill="b8cce4" w:themeFill="accen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7">
    <w:name w:val="Colorful Grid Accent 2"/>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2dbdb" w:themeFill="accent2" w:themeFillTint="33"/>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943634" w:themeFill="accent2" w:themeFillShade="BF"/>
        <w:tcBorders/>
      </w:tcPr>
    </w:tblStylePr>
    <w:tblStylePr w:type="firstRow">
      <w:rPr>
        <w:b/>
        <w:bCs/>
      </w:rPr>
      <w:pPr>
        <w:pBdr/>
        <w:spacing/>
        <w:ind/>
      </w:pPr>
      <w:tblPr>
        <w:tblBorders/>
      </w:tblPr>
      <w:tcPr>
        <w:shd w:val="clear" w:color="auto" w:fill="e5b8b7" w:themeFill="accent2" w:themeFillTint="66"/>
        <w:tcBorders/>
      </w:tcPr>
    </w:tblStylePr>
    <w:tblStylePr w:type="lastCol">
      <w:rPr>
        <w:color w:val="ffffff" w:themeColor="background1"/>
      </w:rPr>
      <w:pPr>
        <w:pBdr/>
        <w:spacing/>
        <w:ind/>
      </w:pPr>
      <w:tblPr>
        <w:tblBorders/>
      </w:tblPr>
      <w:tcPr>
        <w:shd w:val="clear" w:color="auto" w:fill="943634" w:themeFill="accent2" w:themeFillShade="BF"/>
        <w:tcBorders/>
      </w:tcPr>
    </w:tblStylePr>
    <w:tblStylePr w:type="lastRow">
      <w:rPr>
        <w:b/>
        <w:bCs/>
        <w:color w:val="000000" w:themeColor="text1"/>
      </w:rPr>
      <w:pPr>
        <w:pBdr/>
        <w:spacing/>
        <w:ind/>
      </w:pPr>
      <w:tblPr>
        <w:tblBorders/>
      </w:tblPr>
      <w:tcPr>
        <w:shd w:val="clear" w:color="auto" w:fill="e5b8b7" w:themeFill="accent2"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8">
    <w:name w:val="Colorful Grid Accent 3"/>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af1dd" w:themeFill="accent3" w:themeFillTint="33"/>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6923c" w:themeFill="accent3" w:themeFillShade="BF"/>
        <w:tcBorders/>
      </w:tcPr>
    </w:tblStylePr>
    <w:tblStylePr w:type="firstRow">
      <w:rPr>
        <w:b/>
        <w:bCs/>
      </w:rPr>
      <w:pPr>
        <w:pBdr/>
        <w:spacing/>
        <w:ind/>
      </w:pPr>
      <w:tblPr>
        <w:tblBorders/>
      </w:tblPr>
      <w:tcPr>
        <w:shd w:val="clear" w:color="auto" w:fill="d6e3bc" w:themeFill="accent3" w:themeFillTint="66"/>
        <w:tcBorders/>
      </w:tcPr>
    </w:tblStylePr>
    <w:tblStylePr w:type="lastCol">
      <w:rPr>
        <w:color w:val="ffffff" w:themeColor="background1"/>
      </w:rPr>
      <w:pPr>
        <w:pBdr/>
        <w:spacing/>
        <w:ind/>
      </w:pPr>
      <w:tblPr>
        <w:tblBorders/>
      </w:tblPr>
      <w:tcPr>
        <w:shd w:val="clear" w:color="auto" w:fill="76923c" w:themeFill="accent3" w:themeFillShade="BF"/>
        <w:tcBorders/>
      </w:tcPr>
    </w:tblStylePr>
    <w:tblStylePr w:type="lastRow">
      <w:rPr>
        <w:b/>
        <w:bCs/>
        <w:color w:val="000000" w:themeColor="text1"/>
      </w:rPr>
      <w:pPr>
        <w:pBdr/>
        <w:spacing/>
        <w:ind/>
      </w:pPr>
      <w:tblPr>
        <w:tblBorders/>
      </w:tblPr>
      <w:tcPr>
        <w:shd w:val="clear" w:color="auto" w:fill="d6e3bc" w:themeFill="accent3"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9">
    <w:name w:val="Colorful Grid Accent 4"/>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5dfec" w:themeFill="accent4" w:themeFillTint="33"/>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f497a" w:themeFill="accent4" w:themeFillShade="BF"/>
        <w:tcBorders/>
      </w:tcPr>
    </w:tblStylePr>
    <w:tblStylePr w:type="firstRow">
      <w:rPr>
        <w:b/>
        <w:bCs/>
      </w:rPr>
      <w:pPr>
        <w:pBdr/>
        <w:spacing/>
        <w:ind/>
      </w:pPr>
      <w:tblPr>
        <w:tblBorders/>
      </w:tblPr>
      <w:tcPr>
        <w:shd w:val="clear" w:color="auto" w:fill="ccc0d9" w:themeFill="accent4" w:themeFillTint="66"/>
        <w:tcBorders/>
      </w:tcPr>
    </w:tblStylePr>
    <w:tblStylePr w:type="lastCol">
      <w:rPr>
        <w:color w:val="ffffff" w:themeColor="background1"/>
      </w:rPr>
      <w:pPr>
        <w:pBdr/>
        <w:spacing/>
        <w:ind/>
      </w:pPr>
      <w:tblPr>
        <w:tblBorders/>
      </w:tblPr>
      <w:tcPr>
        <w:shd w:val="clear" w:color="auto" w:fill="5f497a" w:themeFill="accent4" w:themeFillShade="BF"/>
        <w:tcBorders/>
      </w:tcPr>
    </w:tblStylePr>
    <w:tblStylePr w:type="lastRow">
      <w:rPr>
        <w:b/>
        <w:bCs/>
        <w:color w:val="000000" w:themeColor="text1"/>
      </w:rPr>
      <w:pPr>
        <w:pBdr/>
        <w:spacing/>
        <w:ind/>
      </w:pPr>
      <w:tblPr>
        <w:tblBorders/>
      </w:tblPr>
      <w:tcPr>
        <w:shd w:val="clear" w:color="auto" w:fill="ccc0d9" w:themeFill="accent4"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0">
    <w:name w:val="Colorful Grid Accent 5"/>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aeef3" w:themeFill="accent5" w:themeFillTint="33"/>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1849b" w:themeFill="accent5" w:themeFillShade="BF"/>
        <w:tcBorders/>
      </w:tcPr>
    </w:tblStylePr>
    <w:tblStylePr w:type="firstRow">
      <w:rPr>
        <w:b/>
        <w:bCs/>
      </w:rPr>
      <w:pPr>
        <w:pBdr/>
        <w:spacing/>
        <w:ind/>
      </w:pPr>
      <w:tblPr>
        <w:tblBorders/>
      </w:tblPr>
      <w:tcPr>
        <w:shd w:val="clear" w:color="auto" w:fill="b6dde8" w:themeFill="accent5" w:themeFillTint="66"/>
        <w:tcBorders/>
      </w:tcPr>
    </w:tblStylePr>
    <w:tblStylePr w:type="lastCol">
      <w:rPr>
        <w:color w:val="ffffff" w:themeColor="background1"/>
      </w:rPr>
      <w:pPr>
        <w:pBdr/>
        <w:spacing/>
        <w:ind/>
      </w:pPr>
      <w:tblPr>
        <w:tblBorders/>
      </w:tblPr>
      <w:tcPr>
        <w:shd w:val="clear" w:color="auto" w:fill="31849b" w:themeFill="accent5" w:themeFillShade="BF"/>
        <w:tcBorders/>
      </w:tcPr>
    </w:tblStylePr>
    <w:tblStylePr w:type="lastRow">
      <w:rPr>
        <w:b/>
        <w:bCs/>
        <w:color w:val="000000" w:themeColor="text1"/>
      </w:rPr>
      <w:pPr>
        <w:pBdr/>
        <w:spacing/>
        <w:ind/>
      </w:pPr>
      <w:tblPr>
        <w:tblBorders/>
      </w:tblPr>
      <w:tcPr>
        <w:shd w:val="clear" w:color="auto" w:fill="b6dde8" w:themeFill="accent5"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1">
    <w:name w:val="Colorful Grid Accent 6"/>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de9d9" w:themeFill="accent6" w:themeFillTint="33"/>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e36c0a" w:themeFill="accent6" w:themeFillShade="BF"/>
        <w:tcBorders/>
      </w:tcPr>
    </w:tblStylePr>
    <w:tblStylePr w:type="firstRow">
      <w:rPr>
        <w:b/>
        <w:bCs/>
      </w:rPr>
      <w:pPr>
        <w:pBdr/>
        <w:spacing/>
        <w:ind/>
      </w:pPr>
      <w:tblPr>
        <w:tblBorders/>
      </w:tblPr>
      <w:tcPr>
        <w:shd w:val="clear" w:color="auto" w:fill="fbd4b4" w:themeFill="accent6" w:themeFillTint="66"/>
        <w:tcBorders/>
      </w:tcPr>
    </w:tblStylePr>
    <w:tblStylePr w:type="lastCol">
      <w:rPr>
        <w:color w:val="ffffff" w:themeColor="background1"/>
      </w:rPr>
      <w:pPr>
        <w:pBdr/>
        <w:spacing/>
        <w:ind/>
      </w:pPr>
      <w:tblPr>
        <w:tblBorders/>
      </w:tblPr>
      <w:tcPr>
        <w:shd w:val="clear" w:color="auto" w:fill="e36c0a" w:themeFill="accent6" w:themeFillShade="BF"/>
        <w:tcBorders/>
      </w:tcPr>
    </w:tblStylePr>
    <w:tblStylePr w:type="lastRow">
      <w:rPr>
        <w:b/>
        <w:bCs/>
        <w:color w:val="000000" w:themeColor="text1"/>
      </w:rPr>
      <w:pPr>
        <w:pBdr/>
        <w:spacing/>
        <w:ind/>
      </w:pPr>
      <w:tblPr>
        <w:tblBorders/>
      </w:tblPr>
      <w:tcPr>
        <w:shd w:val="clear" w:color="auto" w:fill="fbd4b4" w:themeFill="accent6"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glossaryDocument" Target="glossary/document.xml"/><Relationship Id="rId7" Type="http://schemas.openxmlformats.org/officeDocument/2006/relationships/numbering" Target="numbering.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customXml" Target="../customXml/item1.xml"/><Relationship Id="rId13" Type="http://schemas.openxmlformats.org/officeDocument/2006/relationships/image" Target="media/image1.png"/><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hyperlink" Target="AI_Asset_Inventory.xlsx" TargetMode="External"/><Relationship Id="rId17" Type="http://schemas.openxmlformats.org/officeDocument/2006/relationships/hyperlink" Target="SINV_Supplier_Inventory.xlsx" TargetMode="External"/><Relationship Id="rId18" Type="http://schemas.openxmlformats.org/officeDocument/2006/relationships/hyperlink" Target="UAI_Users_and_Access_Inventory.xlsx" TargetMode="External"/><Relationship Id="rId19" Type="http://schemas.openxmlformats.org/officeDocument/2006/relationships/hyperlink" Target="MDR_Mandatory_Documents_and_Records_Register.xlsx" TargetMode="External"/><Relationship Id="rId20" Type="http://schemas.openxmlformats.org/officeDocument/2006/relationships/hyperlink" Target="DR_Document_Register.xlsx" TargetMode="External"/><Relationship Id="rId21" Type="http://schemas.openxmlformats.org/officeDocument/2006/relationships/hyperlink" Target="RRS_Records_Retention_Schedule_Register.xlsx" TargetMode="External"/><Relationship Id="rId22" Type="http://schemas.openxmlformats.org/officeDocument/2006/relationships/hyperlink" Target="ICP_Information_Classification_Policy.docx" TargetMode="External"/><Relationship Id="rId23" Type="http://schemas.openxmlformats.org/officeDocument/2006/relationships/hyperlink" Target="ISO_Information_Security_Objectives_Register.xlsx" TargetMode="External"/><Relationship Id="rId24" Type="http://schemas.openxmlformats.org/officeDocument/2006/relationships/hyperlink" Target="https://www.iso.org/standard/82875.html" TargetMode="External"/><Relationship Id="rId25" Type="http://schemas.openxmlformats.org/officeDocument/2006/relationships/hyperlink" Target="https://www.amazon.com/s?k=ISO+27001+for+Software+Companies+Implementation+and+Certification" TargetMode="External"/><Relationship Id="rId26" Type="http://schemas.openxmlformats.org/officeDocument/2006/relationships/hyperlink" Target="https://www.amazon.com/dp/978990898344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footnotes" Target="footnotes.xml"/><Relationship Id="rId6" Type="http://schemas.openxmlformats.org/officeDocument/2006/relationships/endnotes" Target="endnot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Parts>
    <w:docPart>
      <w:docPartPr>
        <w:name w:val="DefaultPlaceholder_TEXT"/>
        <w:category>
          <w:name w:val="Common"/>
          <w:gallery w:val="placeholder"/>
        </w:category>
        <w:types>
          <w:type w:val="bbPlcHdr"/>
        </w:types>
        <w:behaviors>
          <w:behavior w:val="content"/>
        </w:behaviors>
      </w:docPartPr>
      <w:docPartBody>
        <w:p>
          <w:pPr>
            <w:pBdr/>
            <w:spacing/>
            <w:ind/>
            <w:rPr/>
          </w:pPr>
          <w:r>
            <w:rPr>
              <w:rStyle w:val="966"/>
            </w:rPr>
            <w:t xml:space="preserve">Hier den Text eingeben</w:t>
          </w:r>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63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6">
    <w:name w:val="Table Grid"/>
    <w:basedOn w:val="163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7">
    <w:name w:val="Table Grid Light"/>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8">
    <w:name w:val="Plain Table 1"/>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9">
    <w:name w:val="Plain Table 2"/>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0">
    <w:name w:val="Plain Table 3"/>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1">
    <w:name w:val="Plain Table 4"/>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2">
    <w:name w:val="Plain Table 5"/>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3">
    <w:name w:val="Grid Table 1 Light"/>
    <w:basedOn w:val="163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4">
    <w:name w:val="Grid Table 1 Light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5">
    <w:name w:val="Grid Table 1 Light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6">
    <w:name w:val="Grid Table 1 Light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7">
    <w:name w:val="Grid Table 1 Light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8">
    <w:name w:val="Grid Table 1 Light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9">
    <w:name w:val="Grid Table 1 Light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0">
    <w:name w:val="Grid Table 2"/>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1">
    <w:name w:val="Grid Table 2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2">
    <w:name w:val="Grid Table 2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3">
    <w:name w:val="Grid Table 2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4">
    <w:name w:val="Grid Table 2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5">
    <w:name w:val="Grid Table 2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6">
    <w:name w:val="Grid Table 2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7">
    <w:name w:val="Grid Table 3"/>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8">
    <w:name w:val="Grid Table 3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9">
    <w:name w:val="Grid Table 3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0">
    <w:name w:val="Grid Table 3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1">
    <w:name w:val="Grid Table 3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2">
    <w:name w:val="Grid Table 3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3">
    <w:name w:val="Grid Table 3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4">
    <w:name w:val="Grid Table 4"/>
    <w:basedOn w:val="163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5">
    <w:name w:val="Grid Table 4 - Accent 1"/>
    <w:basedOn w:val="163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6">
    <w:name w:val="Grid Table 4 - Accent 2"/>
    <w:basedOn w:val="163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7">
    <w:name w:val="Grid Table 4 - Accent 3"/>
    <w:basedOn w:val="163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8">
    <w:name w:val="Grid Table 4 - Accent 4"/>
    <w:basedOn w:val="163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9">
    <w:name w:val="Grid Table 4 - Accent 5"/>
    <w:basedOn w:val="163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0">
    <w:name w:val="Grid Table 4 - Accent 6"/>
    <w:basedOn w:val="163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1">
    <w:name w:val="Grid Table 5 Dark"/>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2">
    <w:name w:val="Grid Table 5 Dark- Accent 1"/>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3">
    <w:name w:val="Grid Table 5 Dark - Accent 2"/>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4">
    <w:name w:val="Grid Table 5 Dark - Accent 3"/>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5">
    <w:name w:val="Grid Table 5 Dark- Accent 4"/>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6">
    <w:name w:val="Grid Table 5 Dark - Accent 5"/>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7">
    <w:name w:val="Grid Table 5 Dark - Accent 6"/>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8">
    <w:name w:val="Grid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1679">
    <w:name w:val="Grid Table 6 Colorful - Accent 1"/>
    <w:basedOn w:val="163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1680">
    <w:name w:val="Grid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1681">
    <w:name w:val="Grid Table 6 Colorful - Accent 3"/>
    <w:basedOn w:val="163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1682">
    <w:name w:val="Grid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1683">
    <w:name w:val="Grid Table 6 Colorful - Accent 5"/>
    <w:basedOn w:val="163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4">
    <w:name w:val="Grid Table 6 Colorful - Accent 6"/>
    <w:basedOn w:val="163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5">
    <w:name w:val="Grid Table 7 Colorful"/>
    <w:basedOn w:val="163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6">
    <w:name w:val="Grid Table 7 Colorful - Accent 1"/>
    <w:basedOn w:val="163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7">
    <w:name w:val="Grid Table 7 Colorful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8">
    <w:name w:val="Grid Table 7 Colorful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9">
    <w:name w:val="Grid Table 7 Colorful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0">
    <w:name w:val="Grid Table 7 Colorful - Accent 5"/>
    <w:basedOn w:val="163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1">
    <w:name w:val="Grid Table 7 Colorful - Accent 6"/>
    <w:basedOn w:val="163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2">
    <w:name w:val="List Table 1 Light"/>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3">
    <w:name w:val="List Table 1 Light - Accent 1"/>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4">
    <w:name w:val="List Table 1 Light - Accent 2"/>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5">
    <w:name w:val="List Table 1 Light - Accent 3"/>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6">
    <w:name w:val="List Table 1 Light - Accent 4"/>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7">
    <w:name w:val="List Table 1 Light - Accent 5"/>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8">
    <w:name w:val="List Table 1 Light - Accent 6"/>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9">
    <w:name w:val="List Table 2"/>
    <w:basedOn w:val="163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0">
    <w:name w:val="List Table 2 - Accent 1"/>
    <w:basedOn w:val="163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1">
    <w:name w:val="List Table 2 - Accent 2"/>
    <w:basedOn w:val="163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2">
    <w:name w:val="List Table 2 - Accent 3"/>
    <w:basedOn w:val="163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3">
    <w:name w:val="List Table 2 - Accent 4"/>
    <w:basedOn w:val="163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4">
    <w:name w:val="List Table 2 - Accent 5"/>
    <w:basedOn w:val="163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5">
    <w:name w:val="List Table 2 - Accent 6"/>
    <w:basedOn w:val="163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6">
    <w:name w:val="List Table 3"/>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7">
    <w:name w:val="List Table 3 - Accent 1"/>
    <w:basedOn w:val="163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8">
    <w:name w:val="List Table 3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9">
    <w:name w:val="List Table 3 - Accent 3"/>
    <w:basedOn w:val="163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0">
    <w:name w:val="List Table 3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1">
    <w:name w:val="List Table 3 - Accent 5"/>
    <w:basedOn w:val="163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2">
    <w:name w:val="List Table 3 - Accent 6"/>
    <w:basedOn w:val="163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3">
    <w:name w:val="List Table 4"/>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4">
    <w:name w:val="List Table 4 - Accent 1"/>
    <w:basedOn w:val="163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5">
    <w:name w:val="List Table 4 - Accent 2"/>
    <w:basedOn w:val="163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6">
    <w:name w:val="List Table 4 - Accent 3"/>
    <w:basedOn w:val="163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7">
    <w:name w:val="List Table 4 - Accent 4"/>
    <w:basedOn w:val="163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8">
    <w:name w:val="List Table 4 - Accent 5"/>
    <w:basedOn w:val="163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9">
    <w:name w:val="List Table 4 - Accent 6"/>
    <w:basedOn w:val="163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0">
    <w:name w:val="List Table 5 Dark"/>
    <w:basedOn w:val="163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1">
    <w:name w:val="List Table 5 Dark - Accent 1"/>
    <w:basedOn w:val="163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2">
    <w:name w:val="List Table 5 Dark - Accent 2"/>
    <w:basedOn w:val="163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3">
    <w:name w:val="List Table 5 Dark - Accent 3"/>
    <w:basedOn w:val="163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4">
    <w:name w:val="List Table 5 Dark - Accent 4"/>
    <w:basedOn w:val="163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5">
    <w:name w:val="List Table 5 Dark - Accent 5"/>
    <w:basedOn w:val="163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6">
    <w:name w:val="List Table 5 Dark - Accent 6"/>
    <w:basedOn w:val="163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7">
    <w:name w:val="List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8">
    <w:name w:val="List Table 6 Colorful - Accent 1"/>
    <w:basedOn w:val="163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9">
    <w:name w:val="List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0">
    <w:name w:val="List Table 6 Colorful - Accent 3"/>
    <w:basedOn w:val="163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1">
    <w:name w:val="List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2">
    <w:name w:val="List Table 6 Colorful - Accent 5"/>
    <w:basedOn w:val="163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3">
    <w:name w:val="List Table 6 Colorful - Accent 6"/>
    <w:basedOn w:val="163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4">
    <w:name w:val="List Table 7 Colorful"/>
    <w:basedOn w:val="163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735">
    <w:name w:val="List Table 7 Colorful - Accent 1"/>
    <w:basedOn w:val="163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736">
    <w:name w:val="List Table 7 Colorful - Accent 2"/>
    <w:basedOn w:val="163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737">
    <w:name w:val="List Table 7 Colorful - Accent 3"/>
    <w:basedOn w:val="163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738">
    <w:name w:val="List Table 7 Colorful - Accent 4"/>
    <w:basedOn w:val="163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739">
    <w:name w:val="List Table 7 Colorful - Accent 5"/>
    <w:basedOn w:val="163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740">
    <w:name w:val="List Table 7 Colorful - Accent 6"/>
    <w:basedOn w:val="163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741">
    <w:name w:val="Lined - Accent"/>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2">
    <w:name w:val="Lined - Accent 1"/>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3">
    <w:name w:val="Lined - Accent 2"/>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4">
    <w:name w:val="Lined - Accent 3"/>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5">
    <w:name w:val="Lined - Accent 4"/>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6">
    <w:name w:val="Lined - Accent 5"/>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7">
    <w:name w:val="Lined - Accent 6"/>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8">
    <w:name w:val="Bordered &amp; Lined - Accent"/>
    <w:basedOn w:val="163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9">
    <w:name w:val="Bordered &amp; Lined - Accent 1"/>
    <w:basedOn w:val="163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0">
    <w:name w:val="Bordered &amp; Lined - Accent 2"/>
    <w:basedOn w:val="163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1">
    <w:name w:val="Bordered &amp; Lined - Accent 3"/>
    <w:basedOn w:val="163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2">
    <w:name w:val="Bordered &amp; Lined - Accent 4"/>
    <w:basedOn w:val="163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3">
    <w:name w:val="Bordered &amp; Lined - Accent 5"/>
    <w:basedOn w:val="163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4">
    <w:name w:val="Bordered &amp; Lined - Accent 6"/>
    <w:basedOn w:val="163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5">
    <w:name w:val="Bordered"/>
    <w:basedOn w:val="163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6">
    <w:name w:val="Bordered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7">
    <w:name w:val="Bordered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8">
    <w:name w:val="Bordered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9">
    <w:name w:val="Bordered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0">
    <w:name w:val="Bordered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1">
    <w:name w:val="Bordered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762" w:default="1">
    <w:name w:val="Normal"/>
    <w:qFormat/>
    <w:pPr>
      <w:pBdr/>
      <w:spacing/>
      <w:ind/>
    </w:pPr>
  </w:style>
  <w:style w:type="paragraph" w:styleId="1763">
    <w:name w:val="Heading 1"/>
    <w:basedOn w:val="1762"/>
    <w:next w:val="1762"/>
    <w:link w:val="1774"/>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764">
    <w:name w:val="Heading 2"/>
    <w:basedOn w:val="1762"/>
    <w:next w:val="1762"/>
    <w:link w:val="1775"/>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765">
    <w:name w:val="Heading 3"/>
    <w:basedOn w:val="1762"/>
    <w:next w:val="1762"/>
    <w:link w:val="1776"/>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766">
    <w:name w:val="Heading 4"/>
    <w:basedOn w:val="1762"/>
    <w:next w:val="1762"/>
    <w:link w:val="1777"/>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767">
    <w:name w:val="Heading 5"/>
    <w:basedOn w:val="1762"/>
    <w:next w:val="1762"/>
    <w:link w:val="1778"/>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768">
    <w:name w:val="Heading 6"/>
    <w:basedOn w:val="1762"/>
    <w:next w:val="1762"/>
    <w:link w:val="1779"/>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769">
    <w:name w:val="Heading 7"/>
    <w:basedOn w:val="1762"/>
    <w:next w:val="1762"/>
    <w:link w:val="1780"/>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770">
    <w:name w:val="Heading 8"/>
    <w:basedOn w:val="1762"/>
    <w:next w:val="1762"/>
    <w:link w:val="1781"/>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771">
    <w:name w:val="Heading 9"/>
    <w:basedOn w:val="1762"/>
    <w:next w:val="1762"/>
    <w:link w:val="1782"/>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772" w:default="1">
    <w:name w:val="Default Paragraph Font"/>
    <w:uiPriority w:val="1"/>
    <w:semiHidden/>
    <w:unhideWhenUsed/>
    <w:pPr>
      <w:pBdr/>
      <w:spacing/>
      <w:ind/>
    </w:pPr>
  </w:style>
  <w:style w:type="numbering" w:styleId="1773" w:default="1">
    <w:name w:val="No List"/>
    <w:uiPriority w:val="99"/>
    <w:semiHidden/>
    <w:unhideWhenUsed/>
    <w:pPr>
      <w:pBdr/>
      <w:spacing/>
      <w:ind/>
    </w:pPr>
  </w:style>
  <w:style w:type="character" w:styleId="1774">
    <w:name w:val="Heading 1 Char"/>
    <w:basedOn w:val="1772"/>
    <w:link w:val="1763"/>
    <w:uiPriority w:val="9"/>
    <w:pPr>
      <w:pBdr/>
      <w:spacing/>
      <w:ind/>
    </w:pPr>
    <w:rPr>
      <w:rFonts w:ascii="Arial" w:hAnsi="Arial" w:eastAsia="Arial" w:cs="Arial"/>
      <w:color w:val="0f4761" w:themeColor="accent1" w:themeShade="BF"/>
      <w:sz w:val="40"/>
      <w:szCs w:val="40"/>
    </w:rPr>
  </w:style>
  <w:style w:type="character" w:styleId="1775">
    <w:name w:val="Heading 2 Char"/>
    <w:basedOn w:val="1772"/>
    <w:link w:val="1764"/>
    <w:uiPriority w:val="9"/>
    <w:pPr>
      <w:pBdr/>
      <w:spacing/>
      <w:ind/>
    </w:pPr>
    <w:rPr>
      <w:rFonts w:ascii="Arial" w:hAnsi="Arial" w:eastAsia="Arial" w:cs="Arial"/>
      <w:color w:val="0f4761" w:themeColor="accent1" w:themeShade="BF"/>
      <w:sz w:val="32"/>
      <w:szCs w:val="32"/>
    </w:rPr>
  </w:style>
  <w:style w:type="character" w:styleId="1776">
    <w:name w:val="Heading 3 Char"/>
    <w:basedOn w:val="1772"/>
    <w:link w:val="1765"/>
    <w:uiPriority w:val="9"/>
    <w:pPr>
      <w:pBdr/>
      <w:spacing/>
      <w:ind/>
    </w:pPr>
    <w:rPr>
      <w:rFonts w:ascii="Arial" w:hAnsi="Arial" w:eastAsia="Arial" w:cs="Arial"/>
      <w:color w:val="0f4761" w:themeColor="accent1" w:themeShade="BF"/>
      <w:sz w:val="28"/>
      <w:szCs w:val="28"/>
    </w:rPr>
  </w:style>
  <w:style w:type="character" w:styleId="1777">
    <w:name w:val="Heading 4 Char"/>
    <w:basedOn w:val="1772"/>
    <w:link w:val="1766"/>
    <w:uiPriority w:val="9"/>
    <w:pPr>
      <w:pBdr/>
      <w:spacing/>
      <w:ind/>
    </w:pPr>
    <w:rPr>
      <w:rFonts w:ascii="Arial" w:hAnsi="Arial" w:eastAsia="Arial" w:cs="Arial"/>
      <w:i/>
      <w:iCs/>
      <w:color w:val="0f4761" w:themeColor="accent1" w:themeShade="BF"/>
    </w:rPr>
  </w:style>
  <w:style w:type="character" w:styleId="1778">
    <w:name w:val="Heading 5 Char"/>
    <w:basedOn w:val="1772"/>
    <w:link w:val="1767"/>
    <w:uiPriority w:val="9"/>
    <w:pPr>
      <w:pBdr/>
      <w:spacing/>
      <w:ind/>
    </w:pPr>
    <w:rPr>
      <w:rFonts w:ascii="Arial" w:hAnsi="Arial" w:eastAsia="Arial" w:cs="Arial"/>
      <w:color w:val="0f4761" w:themeColor="accent1" w:themeShade="BF"/>
    </w:rPr>
  </w:style>
  <w:style w:type="character" w:styleId="1779">
    <w:name w:val="Heading 6 Char"/>
    <w:basedOn w:val="1772"/>
    <w:link w:val="1768"/>
    <w:uiPriority w:val="9"/>
    <w:pPr>
      <w:pBdr/>
      <w:spacing/>
      <w:ind/>
    </w:pPr>
    <w:rPr>
      <w:rFonts w:ascii="Arial" w:hAnsi="Arial" w:eastAsia="Arial" w:cs="Arial"/>
      <w:i/>
      <w:iCs/>
      <w:color w:val="595959" w:themeColor="text1" w:themeTint="A6"/>
    </w:rPr>
  </w:style>
  <w:style w:type="character" w:styleId="1780">
    <w:name w:val="Heading 7 Char"/>
    <w:basedOn w:val="1772"/>
    <w:link w:val="1769"/>
    <w:uiPriority w:val="9"/>
    <w:pPr>
      <w:pBdr/>
      <w:spacing/>
      <w:ind/>
    </w:pPr>
    <w:rPr>
      <w:rFonts w:ascii="Arial" w:hAnsi="Arial" w:eastAsia="Arial" w:cs="Arial"/>
      <w:color w:val="595959" w:themeColor="text1" w:themeTint="A6"/>
    </w:rPr>
  </w:style>
  <w:style w:type="character" w:styleId="1781">
    <w:name w:val="Heading 8 Char"/>
    <w:basedOn w:val="1772"/>
    <w:link w:val="1770"/>
    <w:uiPriority w:val="9"/>
    <w:pPr>
      <w:pBdr/>
      <w:spacing/>
      <w:ind/>
    </w:pPr>
    <w:rPr>
      <w:rFonts w:ascii="Arial" w:hAnsi="Arial" w:eastAsia="Arial" w:cs="Arial"/>
      <w:i/>
      <w:iCs/>
      <w:color w:val="272727" w:themeColor="text1" w:themeTint="D8"/>
    </w:rPr>
  </w:style>
  <w:style w:type="character" w:styleId="1782">
    <w:name w:val="Heading 9 Char"/>
    <w:basedOn w:val="1772"/>
    <w:link w:val="1771"/>
    <w:uiPriority w:val="9"/>
    <w:pPr>
      <w:pBdr/>
      <w:spacing/>
      <w:ind/>
    </w:pPr>
    <w:rPr>
      <w:rFonts w:ascii="Arial" w:hAnsi="Arial" w:eastAsia="Arial" w:cs="Arial"/>
      <w:i/>
      <w:iCs/>
      <w:color w:val="272727" w:themeColor="text1" w:themeTint="D8"/>
    </w:rPr>
  </w:style>
  <w:style w:type="paragraph" w:styleId="1783">
    <w:name w:val="Title"/>
    <w:basedOn w:val="1762"/>
    <w:next w:val="1762"/>
    <w:link w:val="1784"/>
    <w:uiPriority w:val="10"/>
    <w:qFormat/>
    <w:pPr>
      <w:pBdr/>
      <w:spacing w:after="80" w:line="240" w:lineRule="auto"/>
      <w:ind/>
      <w:contextualSpacing w:val="true"/>
    </w:pPr>
    <w:rPr>
      <w:rFonts w:ascii="Arial" w:hAnsi="Arial" w:eastAsia="Arial" w:cs="Arial"/>
      <w:spacing w:val="-10"/>
      <w:sz w:val="56"/>
      <w:szCs w:val="56"/>
    </w:rPr>
  </w:style>
  <w:style w:type="character" w:styleId="1784">
    <w:name w:val="Title Char"/>
    <w:basedOn w:val="1772"/>
    <w:link w:val="1783"/>
    <w:uiPriority w:val="10"/>
    <w:pPr>
      <w:pBdr/>
      <w:spacing/>
      <w:ind/>
    </w:pPr>
    <w:rPr>
      <w:rFonts w:ascii="Arial" w:hAnsi="Arial" w:eastAsia="Arial" w:cs="Arial"/>
      <w:spacing w:val="-10"/>
      <w:sz w:val="56"/>
      <w:szCs w:val="56"/>
    </w:rPr>
  </w:style>
  <w:style w:type="paragraph" w:styleId="1785">
    <w:name w:val="Subtitle"/>
    <w:basedOn w:val="1762"/>
    <w:next w:val="1762"/>
    <w:link w:val="1786"/>
    <w:uiPriority w:val="11"/>
    <w:qFormat/>
    <w:pPr>
      <w:numPr>
        <w:ilvl w:val="1"/>
      </w:numPr>
      <w:pBdr/>
      <w:spacing/>
      <w:ind/>
    </w:pPr>
    <w:rPr>
      <w:color w:val="595959" w:themeColor="text1" w:themeTint="A6"/>
      <w:spacing w:val="15"/>
      <w:sz w:val="28"/>
      <w:szCs w:val="28"/>
    </w:rPr>
  </w:style>
  <w:style w:type="character" w:styleId="1786">
    <w:name w:val="Subtitle Char"/>
    <w:basedOn w:val="1772"/>
    <w:link w:val="1785"/>
    <w:uiPriority w:val="11"/>
    <w:pPr>
      <w:pBdr/>
      <w:spacing/>
      <w:ind/>
    </w:pPr>
    <w:rPr>
      <w:color w:val="595959" w:themeColor="text1" w:themeTint="A6"/>
      <w:spacing w:val="15"/>
      <w:sz w:val="28"/>
      <w:szCs w:val="28"/>
    </w:rPr>
  </w:style>
  <w:style w:type="paragraph" w:styleId="1787">
    <w:name w:val="Quote"/>
    <w:basedOn w:val="1762"/>
    <w:next w:val="1762"/>
    <w:link w:val="1788"/>
    <w:uiPriority w:val="29"/>
    <w:qFormat/>
    <w:pPr>
      <w:pBdr/>
      <w:spacing w:before="160"/>
      <w:ind/>
      <w:jc w:val="center"/>
    </w:pPr>
    <w:rPr>
      <w:i/>
      <w:iCs/>
      <w:color w:val="404040" w:themeColor="text1" w:themeTint="BF"/>
    </w:rPr>
  </w:style>
  <w:style w:type="character" w:styleId="1788">
    <w:name w:val="Quote Char"/>
    <w:basedOn w:val="1772"/>
    <w:link w:val="1787"/>
    <w:uiPriority w:val="29"/>
    <w:pPr>
      <w:pBdr/>
      <w:spacing/>
      <w:ind/>
    </w:pPr>
    <w:rPr>
      <w:i/>
      <w:iCs/>
      <w:color w:val="404040" w:themeColor="text1" w:themeTint="BF"/>
    </w:rPr>
  </w:style>
  <w:style w:type="paragraph" w:styleId="1789">
    <w:name w:val="List Paragraph"/>
    <w:basedOn w:val="1762"/>
    <w:uiPriority w:val="34"/>
    <w:qFormat/>
    <w:pPr>
      <w:pBdr/>
      <w:spacing/>
      <w:ind w:left="720"/>
      <w:contextualSpacing w:val="true"/>
    </w:pPr>
  </w:style>
  <w:style w:type="character" w:styleId="1790">
    <w:name w:val="Intense Emphasis"/>
    <w:basedOn w:val="1772"/>
    <w:uiPriority w:val="21"/>
    <w:qFormat/>
    <w:pPr>
      <w:pBdr/>
      <w:spacing/>
      <w:ind/>
    </w:pPr>
    <w:rPr>
      <w:i/>
      <w:iCs/>
      <w:color w:val="0f4761" w:themeColor="accent1" w:themeShade="BF"/>
    </w:rPr>
  </w:style>
  <w:style w:type="paragraph" w:styleId="1791">
    <w:name w:val="Intense Quote"/>
    <w:basedOn w:val="1762"/>
    <w:next w:val="1762"/>
    <w:link w:val="179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792">
    <w:name w:val="Intense Quote Char"/>
    <w:basedOn w:val="1772"/>
    <w:link w:val="1791"/>
    <w:uiPriority w:val="30"/>
    <w:pPr>
      <w:pBdr/>
      <w:spacing/>
      <w:ind/>
    </w:pPr>
    <w:rPr>
      <w:i/>
      <w:iCs/>
      <w:color w:val="0f4761" w:themeColor="accent1" w:themeShade="BF"/>
    </w:rPr>
  </w:style>
  <w:style w:type="character" w:styleId="1793">
    <w:name w:val="Intense Reference"/>
    <w:basedOn w:val="1772"/>
    <w:uiPriority w:val="32"/>
    <w:qFormat/>
    <w:pPr>
      <w:pBdr/>
      <w:spacing/>
      <w:ind/>
    </w:pPr>
    <w:rPr>
      <w:b/>
      <w:bCs/>
      <w:smallCaps/>
      <w:color w:val="0f4761" w:themeColor="accent1" w:themeShade="BF"/>
      <w:spacing w:val="5"/>
    </w:rPr>
  </w:style>
  <w:style w:type="paragraph" w:styleId="1794">
    <w:name w:val="No Spacing"/>
    <w:basedOn w:val="1762"/>
    <w:uiPriority w:val="1"/>
    <w:qFormat/>
    <w:pPr>
      <w:pBdr/>
      <w:spacing w:after="0" w:line="240" w:lineRule="auto"/>
      <w:ind/>
    </w:pPr>
  </w:style>
  <w:style w:type="character" w:styleId="1795">
    <w:name w:val="Subtle Emphasis"/>
    <w:basedOn w:val="1772"/>
    <w:uiPriority w:val="19"/>
    <w:qFormat/>
    <w:pPr>
      <w:pBdr/>
      <w:spacing/>
      <w:ind/>
    </w:pPr>
    <w:rPr>
      <w:i/>
      <w:iCs/>
      <w:color w:val="404040" w:themeColor="text1" w:themeTint="BF"/>
    </w:rPr>
  </w:style>
  <w:style w:type="character" w:styleId="1796">
    <w:name w:val="Emphasis"/>
    <w:basedOn w:val="1772"/>
    <w:uiPriority w:val="20"/>
    <w:qFormat/>
    <w:pPr>
      <w:pBdr/>
      <w:spacing/>
      <w:ind/>
    </w:pPr>
    <w:rPr>
      <w:i/>
      <w:iCs/>
    </w:rPr>
  </w:style>
  <w:style w:type="character" w:styleId="1797">
    <w:name w:val="Strong"/>
    <w:basedOn w:val="1772"/>
    <w:uiPriority w:val="22"/>
    <w:qFormat/>
    <w:pPr>
      <w:pBdr/>
      <w:spacing/>
      <w:ind/>
    </w:pPr>
    <w:rPr>
      <w:b/>
      <w:bCs/>
    </w:rPr>
  </w:style>
  <w:style w:type="character" w:styleId="1798">
    <w:name w:val="Subtle Reference"/>
    <w:basedOn w:val="1772"/>
    <w:uiPriority w:val="31"/>
    <w:qFormat/>
    <w:pPr>
      <w:pBdr/>
      <w:spacing/>
      <w:ind/>
    </w:pPr>
    <w:rPr>
      <w:smallCaps/>
      <w:color w:val="5a5a5a" w:themeColor="text1" w:themeTint="A5"/>
    </w:rPr>
  </w:style>
  <w:style w:type="character" w:styleId="1799">
    <w:name w:val="Book Title"/>
    <w:basedOn w:val="1772"/>
    <w:uiPriority w:val="33"/>
    <w:qFormat/>
    <w:pPr>
      <w:pBdr/>
      <w:spacing/>
      <w:ind/>
    </w:pPr>
    <w:rPr>
      <w:b/>
      <w:bCs/>
      <w:i/>
      <w:iCs/>
      <w:spacing w:val="5"/>
    </w:rPr>
  </w:style>
  <w:style w:type="paragraph" w:styleId="1800">
    <w:name w:val="Header"/>
    <w:basedOn w:val="1762"/>
    <w:link w:val="1801"/>
    <w:uiPriority w:val="99"/>
    <w:unhideWhenUsed/>
    <w:pPr>
      <w:pBdr/>
      <w:tabs>
        <w:tab w:val="center" w:leader="none" w:pos="4844"/>
        <w:tab w:val="right" w:leader="none" w:pos="9689"/>
      </w:tabs>
      <w:spacing w:after="0" w:line="240" w:lineRule="auto"/>
      <w:ind/>
    </w:pPr>
  </w:style>
  <w:style w:type="character" w:styleId="1801">
    <w:name w:val="Header Char"/>
    <w:basedOn w:val="1772"/>
    <w:link w:val="1800"/>
    <w:uiPriority w:val="99"/>
    <w:pPr>
      <w:pBdr/>
      <w:spacing/>
      <w:ind/>
    </w:pPr>
  </w:style>
  <w:style w:type="paragraph" w:styleId="1802">
    <w:name w:val="Footer"/>
    <w:basedOn w:val="1762"/>
    <w:link w:val="1803"/>
    <w:uiPriority w:val="99"/>
    <w:unhideWhenUsed/>
    <w:pPr>
      <w:pBdr/>
      <w:tabs>
        <w:tab w:val="center" w:leader="none" w:pos="4844"/>
        <w:tab w:val="right" w:leader="none" w:pos="9689"/>
      </w:tabs>
      <w:spacing w:after="0" w:line="240" w:lineRule="auto"/>
      <w:ind/>
    </w:pPr>
  </w:style>
  <w:style w:type="character" w:styleId="1803">
    <w:name w:val="Footer Char"/>
    <w:basedOn w:val="1772"/>
    <w:link w:val="1802"/>
    <w:uiPriority w:val="99"/>
    <w:pPr>
      <w:pBdr/>
      <w:spacing/>
      <w:ind/>
    </w:pPr>
  </w:style>
  <w:style w:type="paragraph" w:styleId="1804">
    <w:name w:val="Caption"/>
    <w:basedOn w:val="1762"/>
    <w:next w:val="1762"/>
    <w:uiPriority w:val="35"/>
    <w:unhideWhenUsed/>
    <w:qFormat/>
    <w:pPr>
      <w:pBdr/>
      <w:spacing w:after="200" w:line="240" w:lineRule="auto"/>
      <w:ind/>
    </w:pPr>
    <w:rPr>
      <w:i/>
      <w:iCs/>
      <w:color w:val="0e2841" w:themeColor="text2"/>
      <w:sz w:val="18"/>
      <w:szCs w:val="18"/>
    </w:rPr>
  </w:style>
  <w:style w:type="paragraph" w:styleId="1805">
    <w:name w:val="footnote text"/>
    <w:basedOn w:val="1762"/>
    <w:link w:val="1806"/>
    <w:uiPriority w:val="99"/>
    <w:semiHidden/>
    <w:unhideWhenUsed/>
    <w:pPr>
      <w:pBdr/>
      <w:spacing w:after="0" w:line="240" w:lineRule="auto"/>
      <w:ind/>
    </w:pPr>
    <w:rPr>
      <w:sz w:val="20"/>
      <w:szCs w:val="20"/>
    </w:rPr>
  </w:style>
  <w:style w:type="character" w:styleId="1806">
    <w:name w:val="Footnote Text Char"/>
    <w:basedOn w:val="1772"/>
    <w:link w:val="1805"/>
    <w:uiPriority w:val="99"/>
    <w:semiHidden/>
    <w:pPr>
      <w:pBdr/>
      <w:spacing/>
      <w:ind/>
    </w:pPr>
    <w:rPr>
      <w:sz w:val="20"/>
      <w:szCs w:val="20"/>
    </w:rPr>
  </w:style>
  <w:style w:type="character" w:styleId="1807">
    <w:name w:val="footnote reference"/>
    <w:basedOn w:val="1772"/>
    <w:uiPriority w:val="99"/>
    <w:semiHidden/>
    <w:unhideWhenUsed/>
    <w:pPr>
      <w:pBdr/>
      <w:spacing/>
      <w:ind/>
    </w:pPr>
    <w:rPr>
      <w:vertAlign w:val="superscript"/>
    </w:rPr>
  </w:style>
  <w:style w:type="paragraph" w:styleId="1808">
    <w:name w:val="endnote text"/>
    <w:basedOn w:val="1762"/>
    <w:link w:val="1809"/>
    <w:uiPriority w:val="99"/>
    <w:semiHidden/>
    <w:unhideWhenUsed/>
    <w:pPr>
      <w:pBdr/>
      <w:spacing w:after="0" w:line="240" w:lineRule="auto"/>
      <w:ind/>
    </w:pPr>
    <w:rPr>
      <w:sz w:val="20"/>
      <w:szCs w:val="20"/>
    </w:rPr>
  </w:style>
  <w:style w:type="character" w:styleId="1809">
    <w:name w:val="Endnote Text Char"/>
    <w:basedOn w:val="1772"/>
    <w:link w:val="1808"/>
    <w:uiPriority w:val="99"/>
    <w:semiHidden/>
    <w:pPr>
      <w:pBdr/>
      <w:spacing/>
      <w:ind/>
    </w:pPr>
    <w:rPr>
      <w:sz w:val="20"/>
      <w:szCs w:val="20"/>
    </w:rPr>
  </w:style>
  <w:style w:type="character" w:styleId="1810">
    <w:name w:val="endnote reference"/>
    <w:basedOn w:val="1772"/>
    <w:uiPriority w:val="99"/>
    <w:semiHidden/>
    <w:unhideWhenUsed/>
    <w:pPr>
      <w:pBdr/>
      <w:spacing/>
      <w:ind/>
    </w:pPr>
    <w:rPr>
      <w:vertAlign w:val="superscript"/>
    </w:rPr>
  </w:style>
  <w:style w:type="character" w:styleId="1811">
    <w:name w:val="Hyperlink"/>
    <w:basedOn w:val="1772"/>
    <w:uiPriority w:val="99"/>
    <w:unhideWhenUsed/>
    <w:pPr>
      <w:pBdr/>
      <w:spacing/>
      <w:ind/>
    </w:pPr>
    <w:rPr>
      <w:color w:val="0563c1" w:themeColor="hyperlink"/>
      <w:u w:val="single"/>
    </w:rPr>
  </w:style>
  <w:style w:type="character" w:styleId="1812">
    <w:name w:val="FollowedHyperlink"/>
    <w:basedOn w:val="1772"/>
    <w:uiPriority w:val="99"/>
    <w:semiHidden/>
    <w:unhideWhenUsed/>
    <w:pPr>
      <w:pBdr/>
      <w:spacing/>
      <w:ind/>
    </w:pPr>
    <w:rPr>
      <w:color w:val="954f72" w:themeColor="followedHyperlink"/>
      <w:u w:val="single"/>
    </w:rPr>
  </w:style>
  <w:style w:type="paragraph" w:styleId="1813">
    <w:name w:val="toc 1"/>
    <w:basedOn w:val="1762"/>
    <w:next w:val="1762"/>
    <w:uiPriority w:val="39"/>
    <w:unhideWhenUsed/>
    <w:pPr>
      <w:pBdr/>
      <w:spacing w:after="100"/>
      <w:ind/>
    </w:pPr>
  </w:style>
  <w:style w:type="paragraph" w:styleId="1814">
    <w:name w:val="toc 2"/>
    <w:basedOn w:val="1762"/>
    <w:next w:val="1762"/>
    <w:uiPriority w:val="39"/>
    <w:unhideWhenUsed/>
    <w:pPr>
      <w:pBdr/>
      <w:spacing w:after="100"/>
      <w:ind w:left="220"/>
    </w:pPr>
  </w:style>
  <w:style w:type="paragraph" w:styleId="1815">
    <w:name w:val="toc 3"/>
    <w:basedOn w:val="1762"/>
    <w:next w:val="1762"/>
    <w:uiPriority w:val="39"/>
    <w:unhideWhenUsed/>
    <w:pPr>
      <w:pBdr/>
      <w:spacing w:after="100"/>
      <w:ind w:left="440"/>
    </w:pPr>
  </w:style>
  <w:style w:type="paragraph" w:styleId="1816">
    <w:name w:val="toc 4"/>
    <w:basedOn w:val="1762"/>
    <w:next w:val="1762"/>
    <w:uiPriority w:val="39"/>
    <w:unhideWhenUsed/>
    <w:pPr>
      <w:pBdr/>
      <w:spacing w:after="100"/>
      <w:ind w:left="660"/>
    </w:pPr>
  </w:style>
  <w:style w:type="paragraph" w:styleId="1817">
    <w:name w:val="toc 5"/>
    <w:basedOn w:val="1762"/>
    <w:next w:val="1762"/>
    <w:uiPriority w:val="39"/>
    <w:unhideWhenUsed/>
    <w:pPr>
      <w:pBdr/>
      <w:spacing w:after="100"/>
      <w:ind w:left="880"/>
    </w:pPr>
  </w:style>
  <w:style w:type="paragraph" w:styleId="1818">
    <w:name w:val="toc 6"/>
    <w:basedOn w:val="1762"/>
    <w:next w:val="1762"/>
    <w:uiPriority w:val="39"/>
    <w:unhideWhenUsed/>
    <w:pPr>
      <w:pBdr/>
      <w:spacing w:after="100"/>
      <w:ind w:left="1100"/>
    </w:pPr>
  </w:style>
  <w:style w:type="paragraph" w:styleId="1819">
    <w:name w:val="toc 7"/>
    <w:basedOn w:val="1762"/>
    <w:next w:val="1762"/>
    <w:uiPriority w:val="39"/>
    <w:unhideWhenUsed/>
    <w:pPr>
      <w:pBdr/>
      <w:spacing w:after="100"/>
      <w:ind w:left="1320"/>
    </w:pPr>
  </w:style>
  <w:style w:type="paragraph" w:styleId="1820">
    <w:name w:val="toc 8"/>
    <w:basedOn w:val="1762"/>
    <w:next w:val="1762"/>
    <w:uiPriority w:val="39"/>
    <w:unhideWhenUsed/>
    <w:pPr>
      <w:pBdr/>
      <w:spacing w:after="100"/>
      <w:ind w:left="1540"/>
    </w:pPr>
  </w:style>
  <w:style w:type="paragraph" w:styleId="1821">
    <w:name w:val="toc 9"/>
    <w:basedOn w:val="1762"/>
    <w:next w:val="1762"/>
    <w:uiPriority w:val="39"/>
    <w:unhideWhenUsed/>
    <w:pPr>
      <w:pBdr/>
      <w:spacing w:after="100"/>
      <w:ind w:left="1760"/>
    </w:pPr>
  </w:style>
  <w:style w:type="character" w:styleId="1822">
    <w:name w:val="Placeholder Text"/>
    <w:basedOn w:val="1772"/>
    <w:uiPriority w:val="99"/>
    <w:semiHidden/>
    <w:pPr>
      <w:pBdr/>
      <w:spacing/>
      <w:ind/>
    </w:pPr>
    <w:rPr>
      <w:color w:val="666666"/>
    </w:rPr>
  </w:style>
  <w:style w:type="paragraph" w:styleId="1823">
    <w:name w:val="TOC Heading"/>
    <w:uiPriority w:val="39"/>
    <w:unhideWhenUsed/>
    <w:pPr>
      <w:pBdr/>
      <w:spacing/>
      <w:ind/>
    </w:pPr>
  </w:style>
  <w:style w:type="paragraph" w:styleId="1824">
    <w:name w:val="table of figures"/>
    <w:basedOn w:val="1762"/>
    <w:next w:val="1762"/>
    <w:uiPriority w:val="99"/>
    <w:unhideWhenUsed/>
    <w:pPr>
      <w:pBdr/>
      <w:spacing w:after="0" w:afterAutospacing="0"/>
      <w:ind/>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Manager/>
  <Company/>
  <LinksUpToDate>0</LinksUpToDate>
  <SharedDoc>0</SharedDoc>
  <HyperlinkBase/>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Asset Management Policy</dc:title>
  <dc:subject>Official ExportableProof Companion Artifact AMP</dc:subject>
  <dc:creator>MessemerTech</dc:creator>
  <cp:keywords/>
  <dc:description>This artifact is part of the official ExportableProof Companion package issued by MessemerTech.</dc:description>
  <cp:revision>7</cp:revision>
  <dcterms:created xsi:type="dcterms:W3CDTF">2013-12-23T23:15:00Z</dcterms:created>
  <dcterms:modified xsi:type="dcterms:W3CDTF">2026-09-01T14:29:16Z</dcterms:modified>
  <cp:category>Policy</cp:category>
</cp:coreProperties>
</file>