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Risk Assessment Methodology</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Arcfield uses this file as the frozen scoring and residual-acceptance rulebook. Workshops cite the Document Control version. This is not a risk register, not a Statement of Applicability, and not a MAGERIT (Methodology for Information Systems Risk Analysis and Management) analysis. This methodology remains the approved Arcfield Platform risk method in the surveillance cycle after certificate ARC-ISMS (Information Security Management System)-2025-001.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Risk Manager</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Top Management</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352"/>
        <w:gridCol w:w="1720"/>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352"/>
            <w:shd w:fill="F7F9FC"/>
          </w:tcPr>
          <w:p>
            <w:r/>
            <w:r>
              <w:rPr>
                <w:b/>
                <w:color w:val="1F6FEB"/>
                <w:sz w:val="18"/>
              </w:rPr>
              <w:t>Change</w:t>
            </w:r>
          </w:p>
        </w:tc>
        <w:tc>
          <w:tcPr>
            <w:tcW w:type="dxa" w:w="1720"/>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352"/>
          </w:tcPr>
          <w:p>
            <w:r/>
            <w:r>
              <w:rPr>
                <w:b w:val="0"/>
                <w:color w:val="1F2328"/>
                <w:sz w:val="18"/>
              </w:rPr>
              <w:t>Initial Arcfield Platform publication.</w:t>
            </w:r>
          </w:p>
        </w:tc>
        <w:tc>
          <w:tcPr>
            <w:tcW w:type="dxa" w:w="1720"/>
          </w:tcPr>
          <w:p>
            <w:r/>
            <w:r>
              <w:rPr>
                <w:b w:val="0"/>
                <w:color w:val="1F2328"/>
                <w:sz w:val="18"/>
              </w:rPr>
              <w:t>Top Management</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352"/>
          </w:tcPr>
          <w:p>
            <w:r/>
            <w:r>
              <w:rPr>
                <w:b w:val="0"/>
                <w:color w:val="1F2328"/>
                <w:sz w:val="18"/>
              </w:rPr>
              <w:t>First freeze of the approved Arcfield Platform method. A scale or threshold change is a new row, not a workshop edit.</w:t>
            </w:r>
          </w:p>
        </w:tc>
        <w:tc>
          <w:tcPr>
            <w:tcW w:type="dxa" w:w="1720"/>
          </w:tcPr>
          <w:p>
            <w:r/>
            <w:r>
              <w:rPr>
                <w:b w:val="0"/>
                <w:color w:val="1F2328"/>
                <w:sz w:val="18"/>
              </w:rPr>
              <w:t>Top Management</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Risk assessment method</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method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Scenario rule</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Criteria, scales, thresholds and acceptance authority</w:t>
            </w:r>
            <w:r>
              <w:tab/>
            </w:r>
            <w:r>
              <w:fldChar w:fldCharType="begin"/>
              <w:instrText xml:space="preserve"> PAGEREF _TocRAM006 \h </w:instrText>
              <w:fldChar w:fldCharType="separate"/>
              <w:t xml:space="preserve"> </w:t>
              <w:fldChar w:fldCharType="end"/>
            </w:r>
          </w:hyperlink>
        </w:p>
        <w:p>
          <w:pPr>
            <w:pStyle w:val="959"/>
            <w:tabs>
              <w:tab w:val="right" w:leader="dot" w:pos="10080"/>
            </w:tabs>
          </w:pPr>
          <w:hyperlink w:anchor="_TocRAM007" w:history="1">
            <w:r>
              <w:rPr>
                <w:rStyle w:val="955"/>
              </w:rPr>
              <w:t xml:space="preserve">Impact scale</w:t>
            </w:r>
            <w:r>
              <w:tab/>
            </w:r>
            <w:r>
              <w:fldChar w:fldCharType="begin"/>
              <w:instrText xml:space="preserve"> PAGEREF _TocRAM007 \h </w:instrText>
              <w:fldChar w:fldCharType="separate"/>
              <w:t xml:space="preserve"> </w:t>
              <w:fldChar w:fldCharType="end"/>
            </w:r>
          </w:hyperlink>
        </w:p>
        <w:p>
          <w:pPr>
            <w:pStyle w:val="959"/>
            <w:tabs>
              <w:tab w:val="right" w:leader="dot" w:pos="10080"/>
            </w:tabs>
          </w:pPr>
          <w:hyperlink w:anchor="_TocRAM008" w:history="1">
            <w:r>
              <w:rPr>
                <w:rStyle w:val="955"/>
              </w:rPr>
              <w:t xml:space="preserve">Likelihood scale</w:t>
            </w:r>
            <w:r>
              <w:tab/>
            </w:r>
            <w:r>
              <w:fldChar w:fldCharType="begin"/>
              <w:instrText xml:space="preserve"> PAGEREF _TocRAM008 \h </w:instrText>
              <w:fldChar w:fldCharType="separate"/>
              <w:t xml:space="preserve"> </w:t>
              <w:fldChar w:fldCharType="end"/>
            </w:r>
          </w:hyperlink>
        </w:p>
        <w:p>
          <w:pPr>
            <w:pStyle w:val="959"/>
            <w:tabs>
              <w:tab w:val="right" w:leader="dot" w:pos="10080"/>
            </w:tabs>
          </w:pPr>
          <w:hyperlink w:anchor="_TocRAM009" w:history="1">
            <w:r>
              <w:rPr>
                <w:rStyle w:val="955"/>
              </w:rPr>
              <w:t xml:space="preserve">Matrix</w:t>
            </w:r>
            <w:r>
              <w:tab/>
            </w:r>
            <w:r>
              <w:fldChar w:fldCharType="begin"/>
              <w:instrText xml:space="preserve"> PAGEREF _TocRAM009 \h </w:instrText>
              <w:fldChar w:fldCharType="separate"/>
              <w:t xml:space="preserve"> </w:t>
              <w:fldChar w:fldCharType="end"/>
            </w:r>
          </w:hyperlink>
        </w:p>
        <w:p>
          <w:pPr>
            <w:pStyle w:val="959"/>
            <w:tabs>
              <w:tab w:val="right" w:leader="dot" w:pos="10080"/>
            </w:tabs>
          </w:pPr>
          <w:hyperlink w:anchor="_TocRAM010" w:history="1">
            <w:r>
              <w:rPr>
                <w:rStyle w:val="955"/>
              </w:rPr>
              <w:t xml:space="preserve">Acceptance authority</w:t>
            </w:r>
            <w:r>
              <w:tab/>
            </w:r>
            <w:r>
              <w:fldChar w:fldCharType="begin"/>
              <w:instrText xml:space="preserve"> PAGEREF _TocRAM010 \h </w:instrText>
              <w:fldChar w:fldCharType="separate"/>
              <w:t xml:space="preserve"> </w:t>
              <w:fldChar w:fldCharType="end"/>
            </w:r>
          </w:hyperlink>
        </w:p>
        <w:p>
          <w:pPr>
            <w:pStyle w:val="958"/>
            <w:tabs>
              <w:tab w:val="right" w:leader="dot" w:pos="10080"/>
            </w:tabs>
          </w:pPr>
          <w:hyperlink w:anchor="_TocRAM011" w:history="1">
            <w:r>
              <w:rPr>
                <w:rStyle w:val="955"/>
              </w:rPr>
              <w:t xml:space="preserve">Calibration</w:t>
            </w:r>
            <w:r>
              <w:tab/>
            </w:r>
            <w:r>
              <w:fldChar w:fldCharType="begin"/>
              <w:instrText xml:space="preserve"> PAGEREF _TocRAM011 \h </w:instrText>
              <w:fldChar w:fldCharType="separate"/>
              <w:t xml:space="preserve"> </w:t>
              <w:fldChar w:fldCharType="end"/>
            </w:r>
          </w:hyperlink>
        </w:p>
        <w:p>
          <w:pPr>
            <w:pStyle w:val="958"/>
            <w:tabs>
              <w:tab w:val="right" w:leader="dot" w:pos="10080"/>
            </w:tabs>
          </w:pPr>
          <w:hyperlink w:anchor="_TocRAM012" w:history="1">
            <w:r>
              <w:rPr>
                <w:rStyle w:val="955"/>
              </w:rPr>
              <w:t xml:space="preserve">Roles</w:t>
            </w:r>
            <w:r>
              <w:tab/>
            </w:r>
            <w:r>
              <w:fldChar w:fldCharType="begin"/>
              <w:instrText xml:space="preserve"> PAGEREF _TocRAM012 \h </w:instrText>
              <w:fldChar w:fldCharType="separate"/>
              <w:t xml:space="preserve"> </w:t>
              <w:fldChar w:fldCharType="end"/>
            </w:r>
          </w:hyperlink>
        </w:p>
        <w:p>
          <w:pPr>
            <w:pStyle w:val="958"/>
            <w:tabs>
              <w:tab w:val="right" w:leader="dot" w:pos="10080"/>
            </w:tabs>
          </w:pPr>
          <w:hyperlink w:anchor="_TocRAM013" w:history="1">
            <w:r>
              <w:rPr>
                <w:rStyle w:val="955"/>
              </w:rPr>
              <w:t xml:space="preserve">Treatment and residual acceptance</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Management escalation</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Cadence and triggers</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Software-company 80/20 calibration set</w:t>
            </w:r>
            <w:r>
              <w:tab/>
            </w:r>
            <w:r>
              <w:fldChar w:fldCharType="begin"/>
              <w:instrText xml:space="preserve"> PAGEREF _TocRAM016 \h </w:instrText>
              <w:fldChar w:fldCharType="separate"/>
              <w:t xml:space="preserve"> </w:t>
              <w:fldChar w:fldCharType="end"/>
            </w:r>
          </w:hyperlink>
        </w:p>
        <w:p>
          <w:pPr>
            <w:pStyle w:val="958"/>
            <w:tabs>
              <w:tab w:val="right" w:leader="dot" w:pos="10080"/>
            </w:tabs>
          </w:pPr>
          <w:hyperlink w:anchor="_TocRAM017" w:history="1">
            <w:r>
              <w:rPr>
                <w:rStyle w:val="955"/>
              </w:rPr>
              <w:t xml:space="preserve">Operating evidence sample</w:t>
            </w:r>
            <w:r>
              <w:tab/>
            </w:r>
            <w:r>
              <w:fldChar w:fldCharType="begin"/>
              <w:instrText xml:space="preserve"> PAGEREF _TocRAM017 \h </w:instrText>
              <w:fldChar w:fldCharType="separate"/>
              <w:t xml:space="preserve"> </w:t>
              <w:fldChar w:fldCharType="end"/>
            </w:r>
          </w:hyperlink>
        </w:p>
        <w:p>
          <w:pPr>
            <w:pStyle w:val="957"/>
            <w:tabs>
              <w:tab w:val="right" w:leader="dot" w:pos="10080"/>
            </w:tabs>
          </w:pPr>
          <w:hyperlink w:anchor="_TocRAM018" w:history="1">
            <w:r>
              <w:rPr>
                <w:rStyle w:val="955"/>
              </w:rPr>
              <w:t xml:space="preserve">Evidence and records</w:t>
            </w:r>
            <w:r>
              <w:tab/>
            </w:r>
            <w:r>
              <w:fldChar w:fldCharType="begin"/>
              <w:instrText xml:space="preserve"> PAGEREF _TocRAM018 \h </w:instrText>
              <w:fldChar w:fldCharType="separate"/>
              <w:t xml:space="preserve"> </w:t>
              <w:fldChar w:fldCharType="end"/>
            </w:r>
          </w:hyperlink>
        </w:p>
        <w:p>
          <w:pPr>
            <w:pStyle w:val="957"/>
            <w:tabs>
              <w:tab w:val="right" w:leader="dot" w:pos="10080"/>
            </w:tabs>
          </w:pPr>
          <w:hyperlink w:anchor="_TocRAM019" w:history="1">
            <w:r>
              <w:rPr>
                <w:rStyle w:val="955"/>
              </w:rPr>
              <w:t xml:space="preserve">References</w:t>
            </w:r>
            <w:r>
              <w:tab/>
            </w:r>
            <w:r>
              <w:fldChar w:fldCharType="begin"/>
              <w:instrText xml:space="preserve"> PAGEREF _TocRAM019 \h </w:instrText>
              <w:fldChar w:fldCharType="separate"/>
              <w:t xml:space="preserve"> </w:t>
              <w:fldChar w:fldCharType="end"/>
            </w:r>
          </w:hyperlink>
        </w:p>
        <w:p>
          <w:pPr>
            <w:pStyle w:val="958"/>
            <w:tabs>
              <w:tab w:val="right" w:leader="dot" w:pos="10080"/>
            </w:tabs>
          </w:pPr>
          <w:hyperlink w:anchor="_TocRAM020" w:history="1">
            <w:r>
              <w:rPr>
                <w:rStyle w:val="955"/>
              </w:rPr>
              <w:t xml:space="preserve">Linked documents</w:t>
            </w:r>
            <w:r>
              <w:tab/>
            </w:r>
            <w:r>
              <w:fldChar w:fldCharType="begin"/>
              <w:instrText xml:space="preserve"> PAGEREF _TocRAM020 \h </w:instrText>
              <w:fldChar w:fldCharType="separate"/>
              <w:t xml:space="preserve"> </w:t>
              <w:fldChar w:fldCharType="end"/>
            </w:r>
          </w:hyperlink>
        </w:p>
        <w:p>
          <w:pPr>
            <w:pStyle w:val="958"/>
            <w:tabs>
              <w:tab w:val="right" w:leader="dot" w:pos="10080"/>
            </w:tabs>
          </w:pPr>
          <w:hyperlink w:anchor="_TocRAM021" w:history="1">
            <w:r>
              <w:rPr>
                <w:rStyle w:val="955"/>
              </w:rPr>
              <w:t xml:space="preserve">Linked templates</w:t>
            </w:r>
            <w:r>
              <w:tab/>
            </w:r>
            <w:r>
              <w:fldChar w:fldCharType="begin"/>
              <w:instrText xml:space="preserve"> PAGEREF _TocRAM021 \h </w:instrText>
              <w:fldChar w:fldCharType="separate"/>
              <w:t xml:space="preserve"> </w:t>
              <w:fldChar w:fldCharType="end"/>
            </w:r>
          </w:hyperlink>
        </w:p>
        <w:p>
          <w:pPr>
            <w:pStyle w:val="958"/>
            <w:tabs>
              <w:tab w:val="right" w:leader="dot" w:pos="10080"/>
            </w:tabs>
          </w:pPr>
          <w:hyperlink w:anchor="_TocRAM022" w:history="1">
            <w:r>
              <w:rPr>
                <w:rStyle w:val="955"/>
              </w:rPr>
              <w:t xml:space="preserve">External references</w:t>
            </w:r>
            <w:r>
              <w:tab/>
            </w:r>
            <w:r>
              <w:fldChar w:fldCharType="begin"/>
              <w:instrText xml:space="preserve"> PAGEREF _TocRAM022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 the method rules start in the next chapter.</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Freeze this file before workshops. A scale or threshold change is a new version and a Revision history row, not a workshop edit.</w:t>
      </w:r>
    </w:p>
    <w:p>
      <w:pPr>
        <w:pStyle w:val="1006"/>
        <w:ind w:left="360" w:hanging="259"/>
        <w:numPr>
          <w:ilvl w:val="0"/>
          <w:numId w:val="10"/>
        </w:numPr>
      </w:pPr>
      <w:r>
        <w:rPr>
          <w:b w:val="0"/>
        </w:rPr>
        <w:t>Cite this approved version in the risk register (RR), the treatment plan (RTP) and RAMT (Risk Acceptance Minutes). Do not copy these rules into those records.</w:t>
      </w:r>
    </w:p>
    <w:p>
      <w:pPr>
        <w:pStyle w:val="1006"/>
        <w:ind w:left="360" w:hanging="259"/>
        <w:numPr>
          <w:ilvl w:val="0"/>
          <w:numId w:val="10"/>
        </w:numPr>
      </w:pPr>
      <w:r>
        <w:rPr>
          <w:b w:val="0"/>
        </w:rPr>
        <w:t>Record residual-risk acceptance in RAMT. This file does not accept residual risk.</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Adopt this file as the controlled master. These steps are not a second copy of the method.</w:t>
              <w:br/>
              <w:br/>
              <w:t>Book reference: Implementation &amp; Certification, Risk Assessment &amp; Risk Treatment Process</w:t>
            </w:r>
          </w:p>
        </w:tc>
      </w:tr>
    </w:tbl>
    <w:p>
      <w:r>
        <w:br w:type="page"/>
      </w:r>
    </w:p>
    <w:p>
      <w:pPr>
        <w:pStyle w:val="973"/>
        <w:outlineLvl w:val="0"/>
      </w:pPr>
      <w:bookmarkStart w:id="5" w:name="_TocRAM001"/>
      <w:bookmarkStart w:id="2" w:name="ref_methodology_content"/>
      <w:r>
        <w:t>Risk assessment method</w:t>
      </w:r>
      <w:bookmarkEnd w:id="2"/>
      <w:bookmarkEnd w:id="5"/>
    </w:p>
    <w:p>
      <w:pPr>
        <w:pStyle w:val="974"/>
        <w:outlineLvl w:val="1"/>
      </w:pPr>
      <w:bookmarkStart w:id="6" w:name="_TocRAM002"/>
      <w:r>
        <w:t>What this method is</w:t>
      </w:r>
      <w:bookmarkEnd w:id="6"/>
    </w:p>
    <w:p>
      <w:r>
        <w:rPr>
          <w:b w:val="0"/>
        </w:rPr>
        <w:t>This document is Arcfield's information-security risk assessment method. It is the rulebook for writing, scoring, treating and accepting risks to confidentiality, integrity and availability inside the approved ISMS scope. It follows ISO/IEC 27001:2022 clauses 6.1.2 and 6.1.3. It is not a risk register, not a Statement of Applicability, and not a MAGERIT analysis.</w:t>
      </w:r>
    </w:p>
    <w:p>
      <w:r>
        <w:rPr>
          <w:b w:val="0"/>
        </w:rPr>
        <w:t>Top Management, the ISMS Manager, the Risk Manager and risk owners use it to make repeatable decisions. Auditors sample whether a second assessor lands in the same score band. Engineering, SRE (Site Reliability Engineering), legal and supplier managers provide facts; they do not change the scales.</w:t>
      </w:r>
    </w:p>
    <w:p>
      <w:r>
        <w:rPr>
          <w:b w:val="0"/>
        </w:rPr>
        <w:t>The method produces comparable scores, names who may accept residual risk, and leaves exportable records. Workshops, the risk register, the treatment plan and RAMT cite this file's Document Control version. They must not copy these rules.</w:t>
      </w:r>
    </w:p>
    <w:p>
      <w:r>
        <w:rPr>
          <w:b w:val="0"/>
        </w:rPr>
        <w:t>This file owns the rules. The risk register (RR) stores scored scenarios. The treatment plan (RTP) and tickets store work. RAMT stores residual acceptance. BIA (Business Impact Analysis) supplies availability facts (RTO/RPO (Recovery Time Objective / Recovery Point Objective), criticality, customer or contractual impact). The Statement of Applicability selects Annex A controls in a different artifact. Approve this file in Document Control. Accept residual risk in RAMT.</w:t>
      </w:r>
    </w:p>
    <w:p>
      <w:pPr>
        <w:pStyle w:val="974"/>
        <w:outlineLvl w:val="1"/>
      </w:pPr>
      <w:bookmarkStart w:id="7" w:name="_TocRAM003"/>
      <w:r>
        <w:t>Scope</w:t>
      </w:r>
      <w:bookmarkEnd w:id="7"/>
    </w:p>
    <w:p>
      <w:r>
        <w:rPr>
          <w:b w:val="0"/>
        </w:rPr>
        <w:t>Use this table to decide whether a workshop item belongs in this method.</w:t>
      </w:r>
    </w:p>
    <w:tbl>
      <w:tblPr>
        <w:tblStyle w:val="1033"/>
        <w:tblW w:type="dxa" w:w="10080"/>
        <w:jc w:val="left"/>
        <w:tblLayout w:type="fixed"/>
        <w:tblLook w:firstColumn="1" w:firstRow="1" w:lastColumn="0" w:lastRow="0" w:noHBand="0" w:noVBand="1" w:val="04A0"/>
      </w:tblPr>
      <w:tblGrid>
        <w:gridCol w:w="5147"/>
        <w:gridCol w:w="4933"/>
      </w:tblGrid>
      <w:tr>
        <w:trPr>
          <w:tblHeader/>
          <w:cantSplit/>
        </w:trPr>
        <w:tc>
          <w:tcPr>
            <w:tcW w:type="dxa" w:w="5147"/>
            <w:shd w:fill="F7F9FC"/>
          </w:tcPr>
          <w:p>
            <w:r/>
            <w:r>
              <w:rPr>
                <w:b/>
                <w:color w:val="1F6FEB"/>
                <w:sz w:val="18"/>
              </w:rPr>
              <w:t>In this method</w:t>
            </w:r>
          </w:p>
        </w:tc>
        <w:tc>
          <w:tcPr>
            <w:tcW w:type="dxa" w:w="4933"/>
            <w:shd w:fill="F7F9FC"/>
          </w:tcPr>
          <w:p>
            <w:r/>
            <w:r>
              <w:rPr>
                <w:b/>
                <w:color w:val="1F6FEB"/>
                <w:sz w:val="18"/>
              </w:rPr>
              <w:t>Not in this method</w:t>
            </w:r>
          </w:p>
        </w:tc>
      </w:tr>
      <w:tr>
        <w:trPr>
          <w:cantSplit/>
        </w:trPr>
        <w:tc>
          <w:tcPr>
            <w:tcW w:type="dxa" w:w="5147"/>
          </w:tcPr>
          <w:p>
            <w:r/>
            <w:r>
              <w:rPr>
                <w:b w:val="0"/>
                <w:color w:val="1F2328"/>
                <w:sz w:val="18"/>
              </w:rPr>
              <w:t>CIA risks to in-scope information, services and suppliers.</w:t>
            </w:r>
          </w:p>
        </w:tc>
        <w:tc>
          <w:tcPr>
            <w:tcW w:type="dxa" w:w="4933"/>
          </w:tcPr>
          <w:p>
            <w:r/>
            <w:r>
              <w:rPr>
                <w:b w:val="0"/>
                <w:color w:val="1F2328"/>
                <w:sz w:val="18"/>
              </w:rPr>
              <w:t>Annex A control selection (SoA).</w:t>
            </w:r>
          </w:p>
        </w:tc>
      </w:tr>
      <w:tr>
        <w:trPr>
          <w:cantSplit/>
        </w:trPr>
        <w:tc>
          <w:tcPr>
            <w:tcW w:type="dxa" w:w="5147"/>
          </w:tcPr>
          <w:p>
            <w:r/>
            <w:r>
              <w:rPr>
                <w:b w:val="0"/>
                <w:color w:val="1F2328"/>
                <w:sz w:val="18"/>
              </w:rPr>
              <w:t>Frozen scales, thresholds and residual-acceptance rules.</w:t>
            </w:r>
          </w:p>
        </w:tc>
        <w:tc>
          <w:tcPr>
            <w:tcW w:type="dxa" w:w="4933"/>
          </w:tcPr>
          <w:p>
            <w:r/>
            <w:r>
              <w:rPr>
                <w:b w:val="0"/>
                <w:color w:val="1F2328"/>
                <w:sz w:val="18"/>
              </w:rPr>
              <w:t>FAIR, Monte-Carlo or other quantitative models.</w:t>
            </w:r>
          </w:p>
        </w:tc>
      </w:tr>
      <w:tr>
        <w:trPr>
          <w:cantSplit/>
        </w:trPr>
        <w:tc>
          <w:tcPr>
            <w:tcW w:type="dxa" w:w="5147"/>
          </w:tcPr>
          <w:p>
            <w:r/>
            <w:r>
              <w:rPr>
                <w:b w:val="0"/>
                <w:color w:val="1F2328"/>
                <w:sz w:val="18"/>
              </w:rPr>
              <w:t>Calibration scenarios as workshop prompts.</w:t>
            </w:r>
          </w:p>
        </w:tc>
        <w:tc>
          <w:tcPr>
            <w:tcW w:type="dxa" w:w="4933"/>
          </w:tcPr>
          <w:p>
            <w:r/>
            <w:r>
              <w:rPr>
                <w:b w:val="0"/>
                <w:color w:val="1F2328"/>
                <w:sz w:val="18"/>
              </w:rPr>
              <w:t>MAGERIT or RASM analysis.</w:t>
            </w:r>
          </w:p>
        </w:tc>
      </w:tr>
    </w:tbl>
    <w:p>
      <w:pPr>
        <w:spacing w:before="0" w:after="120"/>
      </w:pPr>
    </w:p>
    <w:p>
      <w:pPr>
        <w:pStyle w:val="974"/>
        <w:outlineLvl w:val="1"/>
      </w:pPr>
      <w:bookmarkStart w:id="8" w:name="_TocRAM004"/>
      <w:r>
        <w:t>Terms used here</w:t>
      </w:r>
      <w:bookmarkEnd w:id="8"/>
    </w:p>
    <w:p>
      <w:r>
        <w:rPr>
          <w:b w:val="0"/>
        </w:rPr>
        <w:t>Read these terms the same way in every workshop. Acronyms expand on first use; this table is only the method vocabulary.</w:t>
      </w:r>
    </w:p>
    <w:tbl>
      <w:tblPr>
        <w:tblStyle w:val="1033"/>
        <w:tblW w:type="dxa" w:w="10080"/>
        <w:jc w:val="left"/>
        <w:tblLayout w:type="fixed"/>
        <w:tblLook w:firstColumn="1" w:firstRow="1" w:lastColumn="0" w:lastRow="0" w:noHBand="0" w:noVBand="1" w:val="04A0"/>
      </w:tblPr>
      <w:tblGrid>
        <w:gridCol w:w="2345"/>
        <w:gridCol w:w="7735"/>
      </w:tblGrid>
      <w:tr>
        <w:trPr>
          <w:tblHeader/>
          <w:cantSplit/>
        </w:trPr>
        <w:tc>
          <w:tcPr>
            <w:tcW w:type="dxa" w:w="2345"/>
            <w:shd w:fill="F7F9FC"/>
          </w:tcPr>
          <w:p>
            <w:r/>
            <w:r>
              <w:rPr>
                <w:b/>
                <w:color w:val="1F6FEB"/>
                <w:sz w:val="18"/>
              </w:rPr>
              <w:t>Term</w:t>
            </w:r>
          </w:p>
        </w:tc>
        <w:tc>
          <w:tcPr>
            <w:tcW w:type="dxa" w:w="7735"/>
            <w:shd w:fill="F7F9FC"/>
          </w:tcPr>
          <w:p>
            <w:r/>
            <w:r>
              <w:rPr>
                <w:b/>
                <w:color w:val="1F6FEB"/>
                <w:sz w:val="18"/>
              </w:rPr>
              <w:t>Meaning</w:t>
            </w:r>
          </w:p>
        </w:tc>
      </w:tr>
      <w:tr>
        <w:trPr>
          <w:cantSplit/>
        </w:trPr>
        <w:tc>
          <w:tcPr>
            <w:tcW w:type="dxa" w:w="2345"/>
          </w:tcPr>
          <w:p>
            <w:r/>
            <w:r>
              <w:rPr>
                <w:b w:val="0"/>
                <w:color w:val="1F2328"/>
                <w:sz w:val="18"/>
              </w:rPr>
              <w:t>Scenario</w:t>
            </w:r>
          </w:p>
        </w:tc>
        <w:tc>
          <w:tcPr>
            <w:tcW w:type="dxa" w:w="7735"/>
          </w:tcPr>
          <w:p>
            <w:r/>
            <w:r>
              <w:rPr>
                <w:b w:val="0"/>
                <w:color w:val="1F2328"/>
                <w:sz w:val="18"/>
              </w:rPr>
              <w:t>A risk statement with weakness, event, asset or service, and CIA or business impact.</w:t>
            </w:r>
          </w:p>
        </w:tc>
      </w:tr>
      <w:tr>
        <w:trPr>
          <w:cantSplit/>
        </w:trPr>
        <w:tc>
          <w:tcPr>
            <w:tcW w:type="dxa" w:w="2345"/>
          </w:tcPr>
          <w:p>
            <w:r/>
            <w:r>
              <w:rPr>
                <w:b w:val="0"/>
                <w:color w:val="1F2328"/>
                <w:sz w:val="18"/>
              </w:rPr>
              <w:t>Inherent score</w:t>
            </w:r>
          </w:p>
        </w:tc>
        <w:tc>
          <w:tcPr>
            <w:tcW w:type="dxa" w:w="7735"/>
          </w:tcPr>
          <w:p>
            <w:r/>
            <w:r>
              <w:rPr>
                <w:b w:val="0"/>
                <w:color w:val="1F2328"/>
                <w:sz w:val="18"/>
              </w:rPr>
              <w:t>Likelihood × impact before treatment in this cycle.</w:t>
            </w:r>
          </w:p>
        </w:tc>
      </w:tr>
      <w:tr>
        <w:trPr>
          <w:cantSplit/>
        </w:trPr>
        <w:tc>
          <w:tcPr>
            <w:tcW w:type="dxa" w:w="2345"/>
          </w:tcPr>
          <w:p>
            <w:r/>
            <w:r>
              <w:rPr>
                <w:b w:val="0"/>
                <w:color w:val="1F2328"/>
                <w:sz w:val="18"/>
              </w:rPr>
              <w:t>Residual score</w:t>
            </w:r>
          </w:p>
        </w:tc>
        <w:tc>
          <w:tcPr>
            <w:tcW w:type="dxa" w:w="7735"/>
          </w:tcPr>
          <w:p>
            <w:r/>
            <w:r>
              <w:rPr>
                <w:b w:val="0"/>
                <w:color w:val="1F2328"/>
                <w:sz w:val="18"/>
              </w:rPr>
              <w:t>Likelihood × impact after the chosen treatment.</w:t>
            </w:r>
          </w:p>
        </w:tc>
      </w:tr>
      <w:tr>
        <w:trPr>
          <w:cantSplit/>
        </w:trPr>
        <w:tc>
          <w:tcPr>
            <w:tcW w:type="dxa" w:w="2345"/>
          </w:tcPr>
          <w:p>
            <w:r/>
            <w:r>
              <w:rPr>
                <w:b w:val="0"/>
                <w:color w:val="1F2328"/>
                <w:sz w:val="18"/>
              </w:rPr>
              <w:t>Method freeze</w:t>
            </w:r>
          </w:p>
        </w:tc>
        <w:tc>
          <w:tcPr>
            <w:tcW w:type="dxa" w:w="7735"/>
          </w:tcPr>
          <w:p>
            <w:r/>
            <w:r>
              <w:rPr>
                <w:b w:val="0"/>
                <w:color w:val="1F2328"/>
                <w:sz w:val="18"/>
              </w:rPr>
              <w:t>Do not change scales or thresholds while scoring. A change is a Document Control version bump plus a Revision history row.</w:t>
            </w:r>
          </w:p>
        </w:tc>
      </w:tr>
    </w:tbl>
    <w:p>
      <w:pPr>
        <w:spacing w:before="0" w:after="120"/>
      </w:pPr>
    </w:p>
    <w:p>
      <w:pPr>
        <w:pStyle w:val="974"/>
        <w:outlineLvl w:val="1"/>
      </w:pPr>
      <w:bookmarkStart w:id="9" w:name="_TocRAM005"/>
      <w:r>
        <w:t>Scenario rule</w:t>
      </w:r>
      <w:bookmarkEnd w:id="9"/>
    </w:p>
    <w:p>
      <w:r>
        <w:rPr>
          <w:b w:val="0"/>
        </w:rPr>
        <w:t>Every information-security risk is a loss of confidentiality, integrity or availability of information inside the approved ISMS scope, with a named risk owner. Sentence pattern: Because of [weakness or exposure], [threat event] could affect [asset, service or process], causing [business or security impact].</w:t>
      </w:r>
    </w:p>
    <w:tbl>
      <w:tblPr>
        <w:tblStyle w:val="1033"/>
        <w:tblW w:type="dxa" w:w="10080"/>
        <w:jc w:val="left"/>
        <w:tblLayout w:type="fixed"/>
        <w:tblLook w:firstColumn="1" w:firstRow="1" w:lastColumn="0" w:lastRow="0" w:noHBand="0" w:noVBand="1" w:val="04A0"/>
      </w:tblPr>
      <w:tblGrid>
        <w:gridCol w:w="900"/>
        <w:gridCol w:w="7056"/>
        <w:gridCol w:w="2124"/>
      </w:tblGrid>
      <w:tr>
        <w:trPr>
          <w:tblHeader/>
          <w:cantSplit/>
        </w:trPr>
        <w:tc>
          <w:tcPr>
            <w:tcW w:type="dxa" w:w="900"/>
            <w:shd w:fill="F7F9FC"/>
          </w:tcPr>
          <w:p>
            <w:r/>
            <w:r>
              <w:rPr>
                <w:b/>
                <w:color w:val="1F6FEB"/>
                <w:sz w:val="18"/>
              </w:rPr>
              <w:t>Kind</w:t>
            </w:r>
          </w:p>
        </w:tc>
        <w:tc>
          <w:tcPr>
            <w:tcW w:type="dxa" w:w="7056"/>
            <w:shd w:fill="F7F9FC"/>
          </w:tcPr>
          <w:p>
            <w:r/>
            <w:r>
              <w:rPr>
                <w:b/>
                <w:color w:val="1F6FEB"/>
                <w:sz w:val="18"/>
              </w:rPr>
              <w:t>Statement</w:t>
            </w:r>
          </w:p>
        </w:tc>
        <w:tc>
          <w:tcPr>
            <w:tcW w:type="dxa" w:w="2124"/>
            <w:shd w:fill="F7F9FC"/>
          </w:tcPr>
          <w:p>
            <w:r/>
            <w:r>
              <w:rPr>
                <w:b/>
                <w:color w:val="1F6FEB"/>
                <w:sz w:val="18"/>
              </w:rPr>
              <w:t>Why</w:t>
            </w:r>
          </w:p>
        </w:tc>
      </w:tr>
      <w:tr>
        <w:trPr>
          <w:cantSplit/>
        </w:trPr>
        <w:tc>
          <w:tcPr>
            <w:tcW w:type="dxa" w:w="900"/>
          </w:tcPr>
          <w:p>
            <w:r/>
            <w:r>
              <w:rPr>
                <w:b w:val="0"/>
                <w:color w:val="1F2328"/>
                <w:sz w:val="18"/>
              </w:rPr>
              <w:t>Weak</w:t>
            </w:r>
          </w:p>
        </w:tc>
        <w:tc>
          <w:tcPr>
            <w:tcW w:type="dxa" w:w="7056"/>
          </w:tcPr>
          <w:p>
            <w:r/>
            <w:r>
              <w:rPr>
                <w:b w:val="0"/>
                <w:color w:val="1F2328"/>
                <w:sz w:val="18"/>
              </w:rPr>
              <w:t>Cloud risk.</w:t>
            </w:r>
          </w:p>
        </w:tc>
        <w:tc>
          <w:tcPr>
            <w:tcW w:type="dxa" w:w="2124"/>
          </w:tcPr>
          <w:p>
            <w:r/>
            <w:r>
              <w:rPr>
                <w:b w:val="0"/>
                <w:color w:val="1F2328"/>
                <w:sz w:val="18"/>
              </w:rPr>
              <w:t>No weakness, event, asset or impact. Cannot be scored, treated or sampled.</w:t>
            </w:r>
          </w:p>
        </w:tc>
      </w:tr>
      <w:tr>
        <w:trPr>
          <w:cantSplit/>
        </w:trPr>
        <w:tc>
          <w:tcPr>
            <w:tcW w:type="dxa" w:w="900"/>
          </w:tcPr>
          <w:p>
            <w:r/>
            <w:r>
              <w:rPr>
                <w:b w:val="0"/>
                <w:color w:val="1F2328"/>
                <w:sz w:val="18"/>
              </w:rPr>
              <w:t>Good</w:t>
            </w:r>
          </w:p>
        </w:tc>
        <w:tc>
          <w:tcPr>
            <w:tcW w:type="dxa" w:w="7056"/>
          </w:tcPr>
          <w:p>
            <w:r/>
            <w:r>
              <w:rPr>
                <w:b w:val="0"/>
                <w:color w:val="1F2328"/>
                <w:sz w:val="18"/>
              </w:rPr>
              <w:t>Because privileged cloud roles for Arcfield Platform production are reviewed only quarterly, an excessive admin role could remain active and allow unauthorized production changes, exposing customer health data.</w:t>
            </w:r>
          </w:p>
        </w:tc>
        <w:tc>
          <w:tcPr>
            <w:tcW w:type="dxa" w:w="2124"/>
          </w:tcPr>
          <w:p>
            <w:r/>
            <w:r>
              <w:rPr>
                <w:b w:val="0"/>
                <w:color w:val="1F2328"/>
                <w:sz w:val="18"/>
              </w:rPr>
              <w:t>Weakness, event, in-scope service and CIA impact are explicit.</w:t>
            </w:r>
          </w:p>
        </w:tc>
      </w:tr>
    </w:tbl>
    <w:p>
      <w:pPr>
        <w:spacing w:before="0" w:after="120"/>
      </w:pPr>
    </w:p>
    <w:p>
      <w:pPr>
        <w:pStyle w:val="974"/>
        <w:outlineLvl w:val="1"/>
      </w:pPr>
      <w:bookmarkStart w:id="10" w:name="_TocRAM006"/>
      <w:r>
        <w:t>Criteria, scales, thresholds and acceptance authority</w:t>
      </w:r>
      <w:bookmarkEnd w:id="10"/>
    </w:p>
    <w:p>
      <w:r>
        <w:rPr>
          <w:b w:val="0"/>
        </w:rPr>
        <w:t>Likelihood and impact are scored from 1 to 5 with the anchors below. The risk level is likelihood × impact. Availability impact must cite BIA facts (RTO/RPO, service criticality, customer or contractual impact), not an unexplained High label. Acceptance criteria are a separate rule from the matrix: they say who may accept which residual level and when that acceptance is reviewed.</w:t>
      </w:r>
    </w:p>
    <w:p>
      <w:pPr>
        <w:pStyle w:val="975"/>
        <w:outlineLvl w:val="2"/>
      </w:pPr>
      <w:bookmarkStart w:id="11" w:name="_TocRAM007"/>
      <w:r>
        <w:t>Impact scale</w:t>
      </w:r>
      <w:bookmarkEnd w:id="11"/>
    </w:p>
    <w:p>
      <w:r>
        <w:rPr>
          <w:b w:val="0"/>
        </w:rPr>
        <w:t>Score the worst credible CIA (Confidentiality, Integrity, and Availability) or business effect on the in-scope service. Availability at 4 or 5 must cite RTO/RPO, criticality or customer impact.</w:t>
      </w:r>
    </w:p>
    <w:tbl>
      <w:tblPr>
        <w:tblStyle w:val="1033"/>
        <w:tblW w:type="dxa" w:w="10080"/>
        <w:jc w:val="left"/>
        <w:tblLayout w:type="fixed"/>
        <w:tblLook w:firstColumn="1" w:firstRow="1" w:lastColumn="0" w:lastRow="0" w:noHBand="0" w:noVBand="1" w:val="04A0"/>
      </w:tblPr>
      <w:tblGrid>
        <w:gridCol w:w="1000"/>
        <w:gridCol w:w="9080"/>
      </w:tblGrid>
      <w:tr>
        <w:trPr>
          <w:tblHeader/>
          <w:cantSplit/>
        </w:trPr>
        <w:tc>
          <w:tcPr>
            <w:tcW w:type="dxa" w:w="1000"/>
            <w:shd w:fill="F7F9FC"/>
          </w:tcPr>
          <w:p>
            <w:r/>
            <w:r>
              <w:rPr>
                <w:b/>
                <w:color w:val="1F6FEB"/>
                <w:sz w:val="18"/>
              </w:rPr>
              <w:t>Score</w:t>
            </w:r>
          </w:p>
        </w:tc>
        <w:tc>
          <w:tcPr>
            <w:tcW w:type="dxa" w:w="9080"/>
            <w:shd w:fill="F7F9FC"/>
          </w:tcPr>
          <w:p>
            <w:r/>
            <w:r>
              <w:rPr>
                <w:b/>
                <w:color w:val="1F6FEB"/>
                <w:sz w:val="18"/>
              </w:rPr>
              <w:t>Anchor</w:t>
            </w:r>
          </w:p>
        </w:tc>
      </w:tr>
      <w:tr>
        <w:trPr>
          <w:cantSplit/>
        </w:trPr>
        <w:tc>
          <w:tcPr>
            <w:tcW w:type="dxa" w:w="1000"/>
            <w:shd w:fill="D8F3DC"/>
          </w:tcPr>
          <w:p>
            <w:r>
              <w:rPr>
                <w:color w:val="1B4332"/>
              </w:rPr>
            </w:r>
            <w:r>
              <w:rPr>
                <w:b w:val="0"/>
                <w:color w:val="1B4332"/>
                <w:sz w:val="18"/>
              </w:rPr>
              <w:t>1</w:t>
            </w:r>
          </w:p>
        </w:tc>
        <w:tc>
          <w:tcPr>
            <w:tcW w:type="dxa" w:w="9080"/>
          </w:tcPr>
          <w:p>
            <w:r/>
            <w:r>
              <w:rPr>
                <w:b w:val="0"/>
                <w:color w:val="1F2328"/>
                <w:sz w:val="18"/>
              </w:rPr>
              <w:t>Negligible operational noise; no customer, legal or CIA material effect.</w:t>
            </w:r>
          </w:p>
        </w:tc>
      </w:tr>
      <w:tr>
        <w:trPr>
          <w:cantSplit/>
        </w:trPr>
        <w:tc>
          <w:tcPr>
            <w:tcW w:type="dxa" w:w="1000"/>
            <w:shd w:fill="E9F5DB"/>
          </w:tcPr>
          <w:p>
            <w:r>
              <w:rPr>
                <w:color w:val="3A5A40"/>
              </w:rPr>
            </w:r>
            <w:r>
              <w:rPr>
                <w:b w:val="0"/>
                <w:color w:val="3A5A40"/>
                <w:sz w:val="18"/>
              </w:rPr>
              <w:t>2</w:t>
            </w:r>
          </w:p>
        </w:tc>
        <w:tc>
          <w:tcPr>
            <w:tcW w:type="dxa" w:w="9080"/>
          </w:tcPr>
          <w:p>
            <w:r/>
            <w:r>
              <w:rPr>
                <w:b w:val="0"/>
                <w:color w:val="1F2328"/>
                <w:sz w:val="18"/>
              </w:rPr>
              <w:t>Limited internal disruption; recoverable without customer notification.</w:t>
            </w:r>
          </w:p>
        </w:tc>
      </w:tr>
      <w:tr>
        <w:trPr>
          <w:cantSplit/>
        </w:trPr>
        <w:tc>
          <w:tcPr>
            <w:tcW w:type="dxa" w:w="1000"/>
            <w:shd w:fill="FFF3BF"/>
          </w:tcPr>
          <w:p>
            <w:r>
              <w:rPr>
                <w:color w:val="7C5E00"/>
              </w:rPr>
            </w:r>
            <w:r>
              <w:rPr>
                <w:b w:val="0"/>
                <w:color w:val="7C5E00"/>
                <w:sz w:val="18"/>
              </w:rPr>
              <w:t>3</w:t>
            </w:r>
          </w:p>
        </w:tc>
        <w:tc>
          <w:tcPr>
            <w:tcW w:type="dxa" w:w="9080"/>
          </w:tcPr>
          <w:p>
            <w:r/>
            <w:r>
              <w:rPr>
                <w:b w:val="0"/>
                <w:color w:val="1F2328"/>
                <w:sz w:val="18"/>
              </w:rPr>
              <w:t>Material service, data or contractual effect; contained but visible to customers or auditors.</w:t>
            </w:r>
          </w:p>
        </w:tc>
      </w:tr>
      <w:tr>
        <w:trPr>
          <w:cantSplit/>
        </w:trPr>
        <w:tc>
          <w:tcPr>
            <w:tcW w:type="dxa" w:w="1000"/>
            <w:shd w:fill="F8D7DA"/>
          </w:tcPr>
          <w:p>
            <w:r>
              <w:rPr>
                <w:color w:val="9B2226"/>
              </w:rPr>
            </w:r>
            <w:r>
              <w:rPr>
                <w:b w:val="0"/>
                <w:color w:val="9B2226"/>
                <w:sz w:val="18"/>
              </w:rPr>
              <w:t>4</w:t>
            </w:r>
          </w:p>
        </w:tc>
        <w:tc>
          <w:tcPr>
            <w:tcW w:type="dxa" w:w="9080"/>
          </w:tcPr>
          <w:p>
            <w:r/>
            <w:r>
              <w:rPr>
                <w:b w:val="0"/>
                <w:color w:val="1F2328"/>
                <w:sz w:val="18"/>
              </w:rPr>
              <w:t>Serious CIA, customer-trust or legal effect on an in-scope service (for availability: RTO/RPO missed).</w:t>
            </w:r>
          </w:p>
        </w:tc>
      </w:tr>
      <w:tr>
        <w:trPr>
          <w:cantSplit/>
        </w:trPr>
        <w:tc>
          <w:tcPr>
            <w:tcW w:type="dxa" w:w="1000"/>
            <w:shd w:fill="E9C7C7"/>
          </w:tcPr>
          <w:p>
            <w:r>
              <w:rPr>
                <w:color w:val="6A040F"/>
              </w:rPr>
            </w:r>
            <w:r>
              <w:rPr>
                <w:b w:val="0"/>
                <w:color w:val="6A040F"/>
                <w:sz w:val="18"/>
              </w:rPr>
              <w:t>5</w:t>
            </w:r>
          </w:p>
        </w:tc>
        <w:tc>
          <w:tcPr>
            <w:tcW w:type="dxa" w:w="9080"/>
          </w:tcPr>
          <w:p>
            <w:r/>
            <w:r>
              <w:rPr>
                <w:b w:val="0"/>
                <w:color w:val="1F2328"/>
                <w:sz w:val="18"/>
              </w:rPr>
              <w:t>Severe or prolonged loss of an in-scope service, regulated data or certification standing.</w:t>
            </w:r>
          </w:p>
        </w:tc>
      </w:tr>
    </w:tbl>
    <w:p>
      <w:pPr>
        <w:spacing w:before="0" w:after="120"/>
      </w:pPr>
    </w:p>
    <w:p>
      <w:pPr>
        <w:pStyle w:val="975"/>
        <w:outlineLvl w:val="2"/>
      </w:pPr>
      <w:bookmarkStart w:id="12" w:name="_TocRAM008"/>
      <w:r>
        <w:t>Likelihood scale</w:t>
      </w:r>
      <w:bookmarkEnd w:id="12"/>
    </w:p>
    <w:p>
      <w:r>
        <w:rPr>
          <w:b w:val="0"/>
        </w:rPr>
        <w:t>Score how plausible the scenario is in the planning horizon given current controls, exposure and history, not how dramatic the asset feels.</w:t>
      </w:r>
    </w:p>
    <w:tbl>
      <w:tblPr>
        <w:tblStyle w:val="1033"/>
        <w:tblW w:type="dxa" w:w="10080"/>
        <w:jc w:val="left"/>
        <w:tblLayout w:type="fixed"/>
        <w:tblLook w:firstColumn="1" w:firstRow="1" w:lastColumn="0" w:lastRow="0" w:noHBand="0" w:noVBand="1" w:val="04A0"/>
      </w:tblPr>
      <w:tblGrid>
        <w:gridCol w:w="1000"/>
        <w:gridCol w:w="9080"/>
      </w:tblGrid>
      <w:tr>
        <w:trPr>
          <w:tblHeader/>
          <w:cantSplit/>
        </w:trPr>
        <w:tc>
          <w:tcPr>
            <w:tcW w:type="dxa" w:w="1000"/>
            <w:shd w:fill="F7F9FC"/>
          </w:tcPr>
          <w:p>
            <w:r/>
            <w:r>
              <w:rPr>
                <w:b/>
                <w:color w:val="1F6FEB"/>
                <w:sz w:val="18"/>
              </w:rPr>
              <w:t>Score</w:t>
            </w:r>
          </w:p>
        </w:tc>
        <w:tc>
          <w:tcPr>
            <w:tcW w:type="dxa" w:w="9080"/>
            <w:shd w:fill="F7F9FC"/>
          </w:tcPr>
          <w:p>
            <w:r/>
            <w:r>
              <w:rPr>
                <w:b/>
                <w:color w:val="1F6FEB"/>
                <w:sz w:val="18"/>
              </w:rPr>
              <w:t>Anchor</w:t>
            </w:r>
          </w:p>
        </w:tc>
      </w:tr>
      <w:tr>
        <w:trPr>
          <w:cantSplit/>
        </w:trPr>
        <w:tc>
          <w:tcPr>
            <w:tcW w:type="dxa" w:w="1000"/>
            <w:shd w:fill="D8F3DC"/>
          </w:tcPr>
          <w:p>
            <w:r>
              <w:rPr>
                <w:color w:val="1B4332"/>
              </w:rPr>
            </w:r>
            <w:r>
              <w:rPr>
                <w:b w:val="0"/>
                <w:color w:val="1B4332"/>
                <w:sz w:val="18"/>
              </w:rPr>
              <w:t>1</w:t>
            </w:r>
          </w:p>
        </w:tc>
        <w:tc>
          <w:tcPr>
            <w:tcW w:type="dxa" w:w="9080"/>
          </w:tcPr>
          <w:p>
            <w:r/>
            <w:r>
              <w:rPr>
                <w:b w:val="0"/>
                <w:color w:val="1F2328"/>
                <w:sz w:val="18"/>
              </w:rPr>
              <w:t>Implausible given current controls, exposure and history.</w:t>
            </w:r>
          </w:p>
        </w:tc>
      </w:tr>
      <w:tr>
        <w:trPr>
          <w:cantSplit/>
        </w:trPr>
        <w:tc>
          <w:tcPr>
            <w:tcW w:type="dxa" w:w="1000"/>
            <w:shd w:fill="E9F5DB"/>
          </w:tcPr>
          <w:p>
            <w:r>
              <w:rPr>
                <w:color w:val="3A5A40"/>
              </w:rPr>
            </w:r>
            <w:r>
              <w:rPr>
                <w:b w:val="0"/>
                <w:color w:val="3A5A40"/>
                <w:sz w:val="18"/>
              </w:rPr>
              <w:t>2</w:t>
            </w:r>
          </w:p>
        </w:tc>
        <w:tc>
          <w:tcPr>
            <w:tcW w:type="dxa" w:w="9080"/>
          </w:tcPr>
          <w:p>
            <w:r/>
            <w:r>
              <w:rPr>
                <w:b w:val="0"/>
                <w:color w:val="1F2328"/>
                <w:sz w:val="18"/>
              </w:rPr>
              <w:t>Possible but unlikely; strong controls and limited exposure.</w:t>
            </w:r>
          </w:p>
        </w:tc>
      </w:tr>
      <w:tr>
        <w:trPr>
          <w:cantSplit/>
        </w:trPr>
        <w:tc>
          <w:tcPr>
            <w:tcW w:type="dxa" w:w="1000"/>
            <w:shd w:fill="FFF3BF"/>
          </w:tcPr>
          <w:p>
            <w:r>
              <w:rPr>
                <w:color w:val="7C5E00"/>
              </w:rPr>
            </w:r>
            <w:r>
              <w:rPr>
                <w:b w:val="0"/>
                <w:color w:val="7C5E00"/>
                <w:sz w:val="18"/>
              </w:rPr>
              <w:t>3</w:t>
            </w:r>
          </w:p>
        </w:tc>
        <w:tc>
          <w:tcPr>
            <w:tcW w:type="dxa" w:w="9080"/>
          </w:tcPr>
          <w:p>
            <w:r/>
            <w:r>
              <w:rPr>
                <w:b w:val="0"/>
                <w:color w:val="1F2328"/>
                <w:sz w:val="18"/>
              </w:rPr>
              <w:t>Credible in the planning horizon; controls exist but are incomplete or untested.</w:t>
            </w:r>
          </w:p>
        </w:tc>
      </w:tr>
      <w:tr>
        <w:trPr>
          <w:cantSplit/>
        </w:trPr>
        <w:tc>
          <w:tcPr>
            <w:tcW w:type="dxa" w:w="1000"/>
            <w:shd w:fill="F8D7DA"/>
          </w:tcPr>
          <w:p>
            <w:r>
              <w:rPr>
                <w:color w:val="9B2226"/>
              </w:rPr>
            </w:r>
            <w:r>
              <w:rPr>
                <w:b w:val="0"/>
                <w:color w:val="9B2226"/>
                <w:sz w:val="18"/>
              </w:rPr>
              <w:t>4</w:t>
            </w:r>
          </w:p>
        </w:tc>
        <w:tc>
          <w:tcPr>
            <w:tcW w:type="dxa" w:w="9080"/>
          </w:tcPr>
          <w:p>
            <w:r/>
            <w:r>
              <w:rPr>
                <w:b w:val="0"/>
                <w:color w:val="1F2328"/>
                <w:sz w:val="18"/>
              </w:rPr>
              <w:t>Expected without treatment; exposure is open or a similar event has occurred.</w:t>
            </w:r>
          </w:p>
        </w:tc>
      </w:tr>
      <w:tr>
        <w:trPr>
          <w:cantSplit/>
        </w:trPr>
        <w:tc>
          <w:tcPr>
            <w:tcW w:type="dxa" w:w="1000"/>
            <w:shd w:fill="E9C7C7"/>
          </w:tcPr>
          <w:p>
            <w:r>
              <w:rPr>
                <w:color w:val="6A040F"/>
              </w:rPr>
            </w:r>
            <w:r>
              <w:rPr>
                <w:b w:val="0"/>
                <w:color w:val="6A040F"/>
                <w:sz w:val="18"/>
              </w:rPr>
              <w:t>5</w:t>
            </w:r>
          </w:p>
        </w:tc>
        <w:tc>
          <w:tcPr>
            <w:tcW w:type="dxa" w:w="9080"/>
          </w:tcPr>
          <w:p>
            <w:r/>
            <w:r>
              <w:rPr>
                <w:b w:val="0"/>
                <w:color w:val="1F2328"/>
                <w:sz w:val="18"/>
              </w:rPr>
              <w:t>Almost certain or already occurring.</w:t>
            </w:r>
          </w:p>
        </w:tc>
      </w:tr>
    </w:tbl>
    <w:p>
      <w:pPr>
        <w:spacing w:before="0" w:after="120"/>
      </w:pPr>
    </w:p>
    <w:p>
      <w:pPr>
        <w:pStyle w:val="975"/>
        <w:outlineLvl w:val="2"/>
      </w:pPr>
      <w:bookmarkStart w:id="13" w:name="_TocRAM009"/>
      <w:r>
        <w:t>Matrix</w:t>
      </w:r>
      <w:bookmarkEnd w:id="13"/>
    </w:p>
    <w:p>
      <w:r>
        <w:rPr>
          <w:b w:val="0"/>
        </w:rPr>
        <w:t>The level is likelihood × impact. The band decides the required action; it does not by itself accept residual risk.</w:t>
      </w:r>
    </w:p>
    <w:tbl>
      <w:tblPr>
        <w:tblStyle w:val="1033"/>
        <w:tblW w:type="dxa" w:w="10080"/>
        <w:jc w:val="left"/>
        <w:tblLayout w:type="fixed"/>
        <w:tblLook w:firstColumn="1" w:firstRow="1" w:lastColumn="0" w:lastRow="0" w:noHBand="0" w:noVBand="1" w:val="04A0"/>
      </w:tblPr>
      <w:tblGrid>
        <w:gridCol w:w="1997"/>
        <w:gridCol w:w="1432"/>
        <w:gridCol w:w="6651"/>
      </w:tblGrid>
      <w:tr>
        <w:trPr>
          <w:tblHeader/>
          <w:cantSplit/>
        </w:trPr>
        <w:tc>
          <w:tcPr>
            <w:tcW w:type="dxa" w:w="1997"/>
            <w:shd w:fill="F7F9FC"/>
          </w:tcPr>
          <w:p>
            <w:r/>
            <w:r>
              <w:rPr>
                <w:b/>
                <w:color w:val="1F6FEB"/>
                <w:sz w:val="18"/>
              </w:rPr>
              <w:t>Score range</w:t>
            </w:r>
          </w:p>
        </w:tc>
        <w:tc>
          <w:tcPr>
            <w:tcW w:type="dxa" w:w="1432"/>
            <w:shd w:fill="F7F9FC"/>
          </w:tcPr>
          <w:p>
            <w:r/>
            <w:r>
              <w:rPr>
                <w:b/>
                <w:color w:val="1F6FEB"/>
                <w:sz w:val="18"/>
              </w:rPr>
              <w:t>Risk level</w:t>
            </w:r>
          </w:p>
        </w:tc>
        <w:tc>
          <w:tcPr>
            <w:tcW w:type="dxa" w:w="6651"/>
            <w:shd w:fill="F7F9FC"/>
          </w:tcPr>
          <w:p>
            <w:r/>
            <w:r>
              <w:rPr>
                <w:b/>
                <w:color w:val="1F6FEB"/>
                <w:sz w:val="18"/>
              </w:rPr>
              <w:t>Required action</w:t>
            </w:r>
          </w:p>
        </w:tc>
      </w:tr>
      <w:tr>
        <w:trPr>
          <w:cantSplit/>
        </w:trPr>
        <w:tc>
          <w:tcPr>
            <w:tcW w:type="dxa" w:w="1997"/>
          </w:tcPr>
          <w:p>
            <w:r/>
            <w:r>
              <w:rPr>
                <w:b w:val="0"/>
                <w:color w:val="1F2328"/>
                <w:sz w:val="18"/>
              </w:rPr>
              <w:t>1-4</w:t>
            </w:r>
          </w:p>
        </w:tc>
        <w:tc>
          <w:tcPr>
            <w:tcW w:type="dxa" w:w="1432"/>
            <w:shd w:fill="D8F3DC"/>
          </w:tcPr>
          <w:p>
            <w:r>
              <w:rPr>
                <w:color w:val="1B4332"/>
              </w:rPr>
            </w:r>
            <w:r>
              <w:rPr>
                <w:b w:val="0"/>
                <w:color w:val="1B4332"/>
                <w:sz w:val="18"/>
              </w:rPr>
              <w:t>Low</w:t>
            </w:r>
          </w:p>
        </w:tc>
        <w:tc>
          <w:tcPr>
            <w:tcW w:type="dxa" w:w="6651"/>
          </w:tcPr>
          <w:p>
            <w:r/>
            <w:r>
              <w:rPr>
                <w:b w:val="0"/>
                <w:color w:val="1F2328"/>
                <w:sz w:val="18"/>
              </w:rPr>
              <w:t>Monitor.</w:t>
            </w:r>
          </w:p>
        </w:tc>
      </w:tr>
      <w:tr>
        <w:trPr>
          <w:cantSplit/>
        </w:trPr>
        <w:tc>
          <w:tcPr>
            <w:tcW w:type="dxa" w:w="1997"/>
          </w:tcPr>
          <w:p>
            <w:r/>
            <w:r>
              <w:rPr>
                <w:b w:val="0"/>
                <w:color w:val="1F2328"/>
                <w:sz w:val="18"/>
              </w:rPr>
              <w:t>5-9</w:t>
            </w:r>
          </w:p>
        </w:tc>
        <w:tc>
          <w:tcPr>
            <w:tcW w:type="dxa" w:w="1432"/>
            <w:shd w:fill="FFF3BF"/>
          </w:tcPr>
          <w:p>
            <w:r>
              <w:rPr>
                <w:color w:val="7C5E00"/>
              </w:rPr>
            </w:r>
            <w:r>
              <w:rPr>
                <w:b w:val="0"/>
                <w:color w:val="7C5E00"/>
                <w:sz w:val="18"/>
              </w:rPr>
              <w:t>Medium</w:t>
            </w:r>
          </w:p>
        </w:tc>
        <w:tc>
          <w:tcPr>
            <w:tcW w:type="dxa" w:w="6651"/>
          </w:tcPr>
          <w:p>
            <w:r/>
            <w:r>
              <w:rPr>
                <w:b w:val="0"/>
                <w:color w:val="1F2328"/>
                <w:sz w:val="18"/>
              </w:rPr>
              <w:t>Treat or accept.</w:t>
            </w:r>
          </w:p>
        </w:tc>
      </w:tr>
      <w:tr>
        <w:trPr>
          <w:cantSplit/>
        </w:trPr>
        <w:tc>
          <w:tcPr>
            <w:tcW w:type="dxa" w:w="1997"/>
          </w:tcPr>
          <w:p>
            <w:r/>
            <w:r>
              <w:rPr>
                <w:b w:val="0"/>
                <w:color w:val="1F2328"/>
                <w:sz w:val="18"/>
              </w:rPr>
              <w:t>10-15</w:t>
            </w:r>
          </w:p>
        </w:tc>
        <w:tc>
          <w:tcPr>
            <w:tcW w:type="dxa" w:w="1432"/>
            <w:shd w:fill="F8D7DA"/>
          </w:tcPr>
          <w:p>
            <w:r>
              <w:rPr>
                <w:color w:val="9B2226"/>
              </w:rPr>
            </w:r>
            <w:r>
              <w:rPr>
                <w:b w:val="0"/>
                <w:color w:val="9B2226"/>
                <w:sz w:val="18"/>
              </w:rPr>
              <w:t>High</w:t>
            </w:r>
          </w:p>
        </w:tc>
        <w:tc>
          <w:tcPr>
            <w:tcW w:type="dxa" w:w="6651"/>
          </w:tcPr>
          <w:p>
            <w:r/>
            <w:r>
              <w:rPr>
                <w:b w:val="0"/>
                <w:color w:val="1F2328"/>
                <w:sz w:val="18"/>
              </w:rPr>
              <w:t>Treatment plan with owner, due date and evidence.</w:t>
            </w:r>
          </w:p>
        </w:tc>
      </w:tr>
      <w:tr>
        <w:trPr>
          <w:cantSplit/>
        </w:trPr>
        <w:tc>
          <w:tcPr>
            <w:tcW w:type="dxa" w:w="1997"/>
          </w:tcPr>
          <w:p>
            <w:r/>
            <w:r>
              <w:rPr>
                <w:b w:val="0"/>
                <w:color w:val="1F2328"/>
                <w:sz w:val="18"/>
              </w:rPr>
              <w:t>16-25</w:t>
            </w:r>
          </w:p>
        </w:tc>
        <w:tc>
          <w:tcPr>
            <w:tcW w:type="dxa" w:w="1432"/>
            <w:shd w:fill="E9C7C7"/>
          </w:tcPr>
          <w:p>
            <w:r>
              <w:rPr>
                <w:color w:val="6A040F"/>
              </w:rPr>
            </w:r>
            <w:r>
              <w:rPr>
                <w:b w:val="0"/>
                <w:color w:val="6A040F"/>
                <w:sz w:val="18"/>
              </w:rPr>
              <w:t>Critical</w:t>
            </w:r>
          </w:p>
        </w:tc>
        <w:tc>
          <w:tcPr>
            <w:tcW w:type="dxa" w:w="6651"/>
          </w:tcPr>
          <w:p>
            <w:r/>
            <w:r>
              <w:rPr>
                <w:b w:val="0"/>
                <w:color w:val="1F2328"/>
                <w:sz w:val="18"/>
              </w:rPr>
              <w:t>Immediate management attention; modify, avoid or transfer.</w:t>
            </w:r>
          </w:p>
        </w:tc>
      </w:tr>
    </w:tbl>
    <w:p>
      <w:pPr>
        <w:spacing w:before="0" w:after="120"/>
      </w:pPr>
    </w:p>
    <w:p>
      <w:pPr>
        <w:pStyle w:val="975"/>
        <w:outlineLvl w:val="2"/>
      </w:pPr>
      <w:bookmarkStart w:id="14" w:name="_TocRAM010"/>
      <w:r>
        <w:t>Acceptance authority</w:t>
      </w:r>
      <w:bookmarkEnd w:id="14"/>
    </w:p>
    <w:p>
      <w:r>
        <w:rPr>
          <w:b w:val="0"/>
        </w:rPr>
        <w:t>This table is residual-risk authority after treatment, not approval of this methodology file.</w:t>
      </w:r>
    </w:p>
    <w:tbl>
      <w:tblPr>
        <w:tblStyle w:val="1033"/>
        <w:tblW w:type="dxa" w:w="10080"/>
        <w:jc w:val="left"/>
        <w:tblLayout w:type="fixed"/>
        <w:tblLook w:firstColumn="1" w:firstRow="1" w:lastColumn="0" w:lastRow="0" w:noHBand="0" w:noVBand="1" w:val="04A0"/>
      </w:tblPr>
      <w:tblGrid>
        <w:gridCol w:w="1432"/>
        <w:gridCol w:w="8648"/>
      </w:tblGrid>
      <w:tr>
        <w:trPr>
          <w:tblHeader/>
          <w:cantSplit/>
        </w:trPr>
        <w:tc>
          <w:tcPr>
            <w:tcW w:type="dxa" w:w="1432"/>
            <w:shd w:fill="F7F9FC"/>
          </w:tcPr>
          <w:p>
            <w:r/>
            <w:r>
              <w:rPr>
                <w:b/>
                <w:color w:val="1F6FEB"/>
                <w:sz w:val="18"/>
              </w:rPr>
              <w:t>Risk level</w:t>
            </w:r>
          </w:p>
        </w:tc>
        <w:tc>
          <w:tcPr>
            <w:tcW w:type="dxa" w:w="8648"/>
            <w:shd w:fill="F7F9FC"/>
          </w:tcPr>
          <w:p>
            <w:r/>
            <w:r>
              <w:rPr>
                <w:b/>
                <w:color w:val="1F6FEB"/>
                <w:sz w:val="18"/>
              </w:rPr>
              <w:t>Who may accept residual</w:t>
            </w:r>
          </w:p>
        </w:tc>
      </w:tr>
      <w:tr>
        <w:trPr>
          <w:cantSplit/>
        </w:trPr>
        <w:tc>
          <w:tcPr>
            <w:tcW w:type="dxa" w:w="1432"/>
            <w:shd w:fill="D8F3DC"/>
          </w:tcPr>
          <w:p>
            <w:r>
              <w:rPr>
                <w:color w:val="1B4332"/>
              </w:rPr>
            </w:r>
            <w:r>
              <w:rPr>
                <w:b w:val="0"/>
                <w:color w:val="1B4332"/>
                <w:sz w:val="18"/>
              </w:rPr>
              <w:t>Low</w:t>
            </w:r>
          </w:p>
        </w:tc>
        <w:tc>
          <w:tcPr>
            <w:tcW w:type="dxa" w:w="8648"/>
          </w:tcPr>
          <w:p>
            <w:r/>
            <w:r>
              <w:rPr>
                <w:b w:val="0"/>
                <w:color w:val="1F2328"/>
                <w:sz w:val="18"/>
              </w:rPr>
              <w:t>Risk owner, with a review date.</w:t>
            </w:r>
          </w:p>
        </w:tc>
      </w:tr>
      <w:tr>
        <w:trPr>
          <w:cantSplit/>
        </w:trPr>
        <w:tc>
          <w:tcPr>
            <w:tcW w:type="dxa" w:w="1432"/>
            <w:shd w:fill="FFF3BF"/>
          </w:tcPr>
          <w:p>
            <w:r>
              <w:rPr>
                <w:color w:val="7C5E00"/>
              </w:rPr>
            </w:r>
            <w:r>
              <w:rPr>
                <w:b w:val="0"/>
                <w:color w:val="7C5E00"/>
                <w:sz w:val="18"/>
              </w:rPr>
              <w:t>Medium</w:t>
            </w:r>
          </w:p>
        </w:tc>
        <w:tc>
          <w:tcPr>
            <w:tcW w:type="dxa" w:w="8648"/>
          </w:tcPr>
          <w:p>
            <w:r/>
            <w:r>
              <w:rPr>
                <w:b w:val="0"/>
                <w:color w:val="1F2328"/>
                <w:sz w:val="18"/>
              </w:rPr>
              <w:t>ISMS Manager, expiry ≤ 12 months.</w:t>
            </w:r>
          </w:p>
        </w:tc>
      </w:tr>
      <w:tr>
        <w:trPr>
          <w:cantSplit/>
        </w:trPr>
        <w:tc>
          <w:tcPr>
            <w:tcW w:type="dxa" w:w="1432"/>
            <w:shd w:fill="F8D7DA"/>
          </w:tcPr>
          <w:p>
            <w:r>
              <w:rPr>
                <w:color w:val="9B2226"/>
              </w:rPr>
            </w:r>
            <w:r>
              <w:rPr>
                <w:b w:val="0"/>
                <w:color w:val="9B2226"/>
                <w:sz w:val="18"/>
              </w:rPr>
              <w:t>High</w:t>
            </w:r>
          </w:p>
        </w:tc>
        <w:tc>
          <w:tcPr>
            <w:tcW w:type="dxa" w:w="8648"/>
          </w:tcPr>
          <w:p>
            <w:r/>
            <w:r>
              <w:rPr>
                <w:b w:val="0"/>
                <w:color w:val="1F2328"/>
                <w:sz w:val="18"/>
              </w:rPr>
              <w:t>Top Management via RAMT only.</w:t>
            </w:r>
          </w:p>
        </w:tc>
      </w:tr>
      <w:tr>
        <w:trPr>
          <w:cantSplit/>
        </w:trPr>
        <w:tc>
          <w:tcPr>
            <w:tcW w:type="dxa" w:w="1432"/>
            <w:shd w:fill="E9C7C7"/>
          </w:tcPr>
          <w:p>
            <w:r>
              <w:rPr>
                <w:color w:val="6A040F"/>
              </w:rPr>
            </w:r>
            <w:r>
              <w:rPr>
                <w:b w:val="0"/>
                <w:color w:val="6A040F"/>
                <w:sz w:val="18"/>
              </w:rPr>
              <w:t>Critical</w:t>
            </w:r>
          </w:p>
        </w:tc>
        <w:tc>
          <w:tcPr>
            <w:tcW w:type="dxa" w:w="8648"/>
          </w:tcPr>
          <w:p>
            <w:r/>
            <w:r>
              <w:rPr>
                <w:b w:val="0"/>
                <w:color w:val="1F2328"/>
                <w:sz w:val="18"/>
              </w:rPr>
              <w:t>Not accepted.</w:t>
            </w:r>
          </w:p>
        </w:tc>
      </w:tr>
    </w:tbl>
    <w:p>
      <w:pPr>
        <w:spacing w:before="0" w:after="120"/>
      </w:pPr>
    </w:p>
    <w:p>
      <w:pPr>
        <w:pStyle w:val="974"/>
        <w:outlineLvl w:val="1"/>
      </w:pPr>
      <w:bookmarkStart w:id="15" w:name="_TocRAM011"/>
      <w:r>
        <w:t>Calibration</w:t>
      </w:r>
      <w:bookmarkEnd w:id="15"/>
    </w:p>
    <w:p>
      <w:r>
        <w:rPr>
          <w:b w:val="0"/>
        </w:rPr>
        <w:t>Before a scoring workshop, two assessors independently score the same scenarios. The goal is comparable management decisions, not false mathematical precision. FAIR (Factor Analysis of Information Risk), Monte-Carlo or other quantitative models are out of scope for this method.</w:t>
      </w:r>
    </w:p>
    <w:p>
      <w:r>
        <w:rPr>
          <w:b w:val="0"/>
        </w:rPr>
        <w:t>Stop and fix the method when:</w:t>
      </w:r>
    </w:p>
    <w:p>
      <w:pPr>
        <w:pStyle w:val="1003"/>
        <w:ind w:left="360" w:hanging="259"/>
      </w:pPr>
      <w:r>
        <w:rPr>
          <w:b w:val="0"/>
        </w:rPr>
        <w:t>If the delta on likelihood or impact exceeds one point, stop and clarify the anchor.</w:t>
      </w:r>
    </w:p>
    <w:p>
      <w:pPr>
        <w:pStyle w:val="1003"/>
        <w:ind w:left="360" w:hanging="259"/>
      </w:pPr>
      <w:r>
        <w:rPr>
          <w:b w:val="0"/>
        </w:rPr>
        <w:t>If an anchor's wording changes, bump the methodology version after approval.</w:t>
      </w:r>
    </w:p>
    <w:p>
      <w:r>
        <w:rPr>
          <w:b w:val="0"/>
        </w:rPr>
        <w:t>Score these two scenarios independently, then compare. They exist to keep Impact 5 and High residual from drifting.</w:t>
      </w:r>
    </w:p>
    <w:tbl>
      <w:tblPr>
        <w:tblStyle w:val="1033"/>
        <w:tblW w:type="dxa" w:w="10080"/>
        <w:jc w:val="left"/>
        <w:tblLayout w:type="fixed"/>
        <w:tblLook w:firstColumn="1" w:firstRow="1" w:lastColumn="0" w:lastRow="0" w:noHBand="0" w:noVBand="1" w:val="04A0"/>
      </w:tblPr>
      <w:tblGrid>
        <w:gridCol w:w="900"/>
        <w:gridCol w:w="5633"/>
        <w:gridCol w:w="3547"/>
      </w:tblGrid>
      <w:tr>
        <w:trPr>
          <w:tblHeader/>
          <w:cantSplit/>
        </w:trPr>
        <w:tc>
          <w:tcPr>
            <w:tcW w:type="dxa" w:w="900"/>
            <w:shd w:fill="F7F9FC"/>
          </w:tcPr>
          <w:p>
            <w:r/>
            <w:r>
              <w:rPr>
                <w:b/>
                <w:color w:val="1F6FEB"/>
                <w:sz w:val="18"/>
              </w:rPr>
              <w:t>ID</w:t>
            </w:r>
          </w:p>
        </w:tc>
        <w:tc>
          <w:tcPr>
            <w:tcW w:type="dxa" w:w="5633"/>
            <w:shd w:fill="F7F9FC"/>
          </w:tcPr>
          <w:p>
            <w:r/>
            <w:r>
              <w:rPr>
                <w:b/>
                <w:color w:val="1F6FEB"/>
                <w:sz w:val="18"/>
              </w:rPr>
              <w:t>Scenario</w:t>
            </w:r>
          </w:p>
        </w:tc>
        <w:tc>
          <w:tcPr>
            <w:tcW w:type="dxa" w:w="3547"/>
            <w:shd w:fill="F7F9FC"/>
          </w:tcPr>
          <w:p>
            <w:r/>
            <w:r>
              <w:rPr>
                <w:b/>
                <w:color w:val="1F6FEB"/>
                <w:sz w:val="18"/>
              </w:rPr>
              <w:t>Typical band</w:t>
            </w:r>
          </w:p>
        </w:tc>
      </w:tr>
      <w:tr>
        <w:trPr>
          <w:cantSplit/>
        </w:trPr>
        <w:tc>
          <w:tcPr>
            <w:tcW w:type="dxa" w:w="900"/>
          </w:tcPr>
          <w:p>
            <w:r/>
            <w:r>
              <w:rPr>
                <w:b w:val="0"/>
                <w:color w:val="1F2328"/>
                <w:sz w:val="18"/>
              </w:rPr>
              <w:t>A</w:t>
            </w:r>
          </w:p>
        </w:tc>
        <w:tc>
          <w:tcPr>
            <w:tcW w:type="dxa" w:w="5633"/>
          </w:tcPr>
          <w:p>
            <w:r/>
            <w:r>
              <w:rPr>
                <w:b w:val="0"/>
                <w:color w:val="1F2328"/>
                <w:sz w:val="18"/>
              </w:rPr>
              <w:t>Internal wiki with no customer data left world-readable for one hour.</w:t>
            </w:r>
          </w:p>
        </w:tc>
        <w:tc>
          <w:tcPr>
            <w:tcW w:type="dxa" w:w="3547"/>
            <w:shd w:fill="D8F3DC"/>
          </w:tcPr>
          <w:p>
            <w:r>
              <w:rPr>
                <w:color w:val="1B4332"/>
              </w:rPr>
            </w:r>
            <w:r>
              <w:rPr>
                <w:b w:val="0"/>
                <w:color w:val="1B4332"/>
                <w:sz w:val="18"/>
              </w:rPr>
              <w:t>Impact 2 × Likelihood 2 = 4 Low</w:t>
            </w:r>
          </w:p>
        </w:tc>
      </w:tr>
      <w:tr>
        <w:trPr>
          <w:cantSplit/>
        </w:trPr>
        <w:tc>
          <w:tcPr>
            <w:tcW w:type="dxa" w:w="900"/>
          </w:tcPr>
          <w:p>
            <w:r/>
            <w:r>
              <w:rPr>
                <w:b w:val="0"/>
                <w:color w:val="1F2328"/>
                <w:sz w:val="18"/>
              </w:rPr>
              <w:t>B</w:t>
            </w:r>
          </w:p>
        </w:tc>
        <w:tc>
          <w:tcPr>
            <w:tcW w:type="dxa" w:w="5633"/>
          </w:tcPr>
          <w:p>
            <w:r/>
            <w:r>
              <w:rPr>
                <w:b w:val="0"/>
                <w:color w:val="1F2328"/>
                <w:sz w:val="18"/>
              </w:rPr>
              <w:t>Arcfield Platform production database internet-exposed because a security group drifted.</w:t>
            </w:r>
          </w:p>
        </w:tc>
        <w:tc>
          <w:tcPr>
            <w:tcW w:type="dxa" w:w="3547"/>
            <w:shd w:fill="F8D7DA"/>
          </w:tcPr>
          <w:p>
            <w:r>
              <w:rPr>
                <w:color w:val="9B2226"/>
              </w:rPr>
            </w:r>
            <w:r>
              <w:rPr>
                <w:b w:val="0"/>
                <w:color w:val="9B2226"/>
                <w:sz w:val="18"/>
              </w:rPr>
              <w:t>Impact 5 × Likelihood 3 = 15 High</w:t>
            </w:r>
          </w:p>
        </w:tc>
      </w:tr>
    </w:tbl>
    <w:p>
      <w:pPr>
        <w:spacing w:before="0" w:after="120"/>
      </w:pPr>
    </w:p>
    <w:p>
      <w:r>
        <w:rPr>
          <w:b w:val="0"/>
        </w:rPr>
        <w:t>A second assessor who scores Calibration B as Impact 3 without BIA or customer facts has left the method; re-anchor before continuing.</w:t>
      </w:r>
    </w:p>
    <w:p>
      <w:pPr>
        <w:pStyle w:val="974"/>
        <w:outlineLvl w:val="1"/>
      </w:pPr>
      <w:bookmarkStart w:id="16" w:name="_TocRAM012"/>
      <w:r>
        <w:t>Roles</w:t>
      </w:r>
      <w:bookmarkEnd w:id="16"/>
    </w:p>
    <w:p>
      <w:r>
        <w:rPr>
          <w:b w:val="0"/>
        </w:rPr>
        <w:t>Separate who owns the method, who owns each risk, and who may accept residual exposure. Document approval of this file stays in Document Control.</w:t>
      </w:r>
    </w:p>
    <w:tbl>
      <w:tblPr>
        <w:tblStyle w:val="1033"/>
        <w:tblW w:type="dxa" w:w="10080"/>
        <w:jc w:val="left"/>
        <w:tblLayout w:type="fixed"/>
        <w:tblLook w:firstColumn="1" w:firstRow="1" w:lastColumn="0" w:lastRow="0" w:noHBand="0" w:noVBand="1" w:val="04A0"/>
      </w:tblPr>
      <w:tblGrid>
        <w:gridCol w:w="2161"/>
        <w:gridCol w:w="6055"/>
        <w:gridCol w:w="1864"/>
      </w:tblGrid>
      <w:tr>
        <w:trPr>
          <w:tblHeader/>
          <w:cantSplit/>
        </w:trPr>
        <w:tc>
          <w:tcPr>
            <w:tcW w:type="dxa" w:w="2161"/>
            <w:shd w:fill="F7F9FC"/>
          </w:tcPr>
          <w:p>
            <w:r/>
            <w:r>
              <w:rPr>
                <w:b/>
                <w:color w:val="1F6FEB"/>
                <w:sz w:val="18"/>
              </w:rPr>
              <w:t>Role</w:t>
            </w:r>
          </w:p>
        </w:tc>
        <w:tc>
          <w:tcPr>
            <w:tcW w:type="dxa" w:w="6055"/>
            <w:shd w:fill="F7F9FC"/>
          </w:tcPr>
          <w:p>
            <w:r/>
            <w:r>
              <w:rPr>
                <w:b/>
                <w:color w:val="1F6FEB"/>
                <w:sz w:val="18"/>
              </w:rPr>
              <w:t>Who</w:t>
            </w:r>
          </w:p>
        </w:tc>
        <w:tc>
          <w:tcPr>
            <w:tcW w:type="dxa" w:w="1864"/>
            <w:shd w:fill="F7F9FC"/>
          </w:tcPr>
          <w:p>
            <w:r/>
            <w:r>
              <w:rPr>
                <w:b/>
                <w:color w:val="1F6FEB"/>
                <w:sz w:val="18"/>
              </w:rPr>
              <w:t>Does</w:t>
            </w:r>
          </w:p>
        </w:tc>
      </w:tr>
      <w:tr>
        <w:trPr>
          <w:cantSplit/>
        </w:trPr>
        <w:tc>
          <w:tcPr>
            <w:tcW w:type="dxa" w:w="2161"/>
          </w:tcPr>
          <w:p>
            <w:r/>
            <w:r>
              <w:rPr>
                <w:b w:val="0"/>
                <w:color w:val="1F2328"/>
                <w:sz w:val="18"/>
              </w:rPr>
              <w:t>Method owner</w:t>
            </w:r>
          </w:p>
        </w:tc>
        <w:tc>
          <w:tcPr>
            <w:tcW w:type="dxa" w:w="6055"/>
          </w:tcPr>
          <w:p>
            <w:r/>
            <w:r>
              <w:rPr>
                <w:b w:val="0"/>
                <w:color w:val="1F2328"/>
                <w:sz w:val="18"/>
              </w:rPr>
              <w:t>Risk Manager (ISMS Manager supports traceability)</w:t>
            </w:r>
          </w:p>
        </w:tc>
        <w:tc>
          <w:tcPr>
            <w:tcW w:type="dxa" w:w="1864"/>
          </w:tcPr>
          <w:p>
            <w:r/>
            <w:r>
              <w:rPr>
                <w:b w:val="0"/>
                <w:color w:val="1F2328"/>
                <w:sz w:val="18"/>
              </w:rPr>
              <w:t>Maintains this Document Control version, calibration notes and the change log.</w:t>
            </w:r>
          </w:p>
        </w:tc>
      </w:tr>
      <w:tr>
        <w:trPr>
          <w:cantSplit/>
        </w:trPr>
        <w:tc>
          <w:tcPr>
            <w:tcW w:type="dxa" w:w="2161"/>
          </w:tcPr>
          <w:p>
            <w:r/>
            <w:r>
              <w:rPr>
                <w:b w:val="0"/>
                <w:color w:val="1F2328"/>
                <w:sz w:val="18"/>
              </w:rPr>
              <w:t>Risk owner</w:t>
            </w:r>
          </w:p>
        </w:tc>
        <w:tc>
          <w:tcPr>
            <w:tcW w:type="dxa" w:w="6055"/>
          </w:tcPr>
          <w:p>
            <w:r/>
            <w:r>
              <w:rPr>
                <w:b w:val="0"/>
                <w:color w:val="1F2328"/>
                <w:sz w:val="18"/>
              </w:rPr>
              <w:t>Accountable owner of the in-scope asset, service or process in the scenario</w:t>
            </w:r>
          </w:p>
        </w:tc>
        <w:tc>
          <w:tcPr>
            <w:tcW w:type="dxa" w:w="1864"/>
          </w:tcPr>
          <w:p>
            <w:r/>
            <w:r>
              <w:rPr>
                <w:b w:val="0"/>
                <w:color w:val="1F2328"/>
                <w:sz w:val="18"/>
              </w:rPr>
              <w:t>Owns scoring rationale, treatment work and residual status.</w:t>
            </w:r>
          </w:p>
        </w:tc>
      </w:tr>
      <w:tr>
        <w:trPr>
          <w:cantSplit/>
        </w:trPr>
        <w:tc>
          <w:tcPr>
            <w:tcW w:type="dxa" w:w="2161"/>
          </w:tcPr>
          <w:p>
            <w:r/>
            <w:r>
              <w:rPr>
                <w:b w:val="0"/>
                <w:color w:val="1F2328"/>
                <w:sz w:val="18"/>
              </w:rPr>
              <w:t>Acceptance — Low</w:t>
            </w:r>
          </w:p>
        </w:tc>
        <w:tc>
          <w:tcPr>
            <w:tcW w:type="dxa" w:w="6055"/>
          </w:tcPr>
          <w:p>
            <w:r/>
            <w:r>
              <w:rPr>
                <w:b w:val="0"/>
                <w:color w:val="1F2328"/>
                <w:sz w:val="18"/>
              </w:rPr>
              <w:t>Risk owner</w:t>
            </w:r>
          </w:p>
        </w:tc>
        <w:tc>
          <w:tcPr>
            <w:tcW w:type="dxa" w:w="1864"/>
          </w:tcPr>
          <w:p>
            <w:r/>
            <w:r>
              <w:rPr>
                <w:b w:val="0"/>
                <w:color w:val="1F2328"/>
                <w:sz w:val="18"/>
              </w:rPr>
              <w:t>May accept residual Low with a review date.</w:t>
            </w:r>
          </w:p>
        </w:tc>
      </w:tr>
      <w:tr>
        <w:trPr>
          <w:cantSplit/>
        </w:trPr>
        <w:tc>
          <w:tcPr>
            <w:tcW w:type="dxa" w:w="2161"/>
          </w:tcPr>
          <w:p>
            <w:r/>
            <w:r>
              <w:rPr>
                <w:b w:val="0"/>
                <w:color w:val="1F2328"/>
                <w:sz w:val="18"/>
              </w:rPr>
              <w:t>Acceptance — Medium</w:t>
            </w:r>
          </w:p>
        </w:tc>
        <w:tc>
          <w:tcPr>
            <w:tcW w:type="dxa" w:w="6055"/>
          </w:tcPr>
          <w:p>
            <w:r/>
            <w:r>
              <w:rPr>
                <w:b w:val="0"/>
                <w:color w:val="1F2328"/>
                <w:sz w:val="18"/>
              </w:rPr>
              <w:t>ISMS Manager</w:t>
            </w:r>
          </w:p>
        </w:tc>
        <w:tc>
          <w:tcPr>
            <w:tcW w:type="dxa" w:w="1864"/>
          </w:tcPr>
          <w:p>
            <w:r/>
            <w:r>
              <w:rPr>
                <w:b w:val="0"/>
                <w:color w:val="1F2328"/>
                <w:sz w:val="18"/>
              </w:rPr>
              <w:t>May accept residual Medium under the matrix, expiry ≤ 12 months.</w:t>
            </w:r>
          </w:p>
        </w:tc>
      </w:tr>
      <w:tr>
        <w:trPr>
          <w:cantSplit/>
        </w:trPr>
        <w:tc>
          <w:tcPr>
            <w:tcW w:type="dxa" w:w="2161"/>
          </w:tcPr>
          <w:p>
            <w:r/>
            <w:r>
              <w:rPr>
                <w:b w:val="0"/>
                <w:color w:val="1F2328"/>
                <w:sz w:val="18"/>
              </w:rPr>
              <w:t>Acceptance — High</w:t>
            </w:r>
          </w:p>
        </w:tc>
        <w:tc>
          <w:tcPr>
            <w:tcW w:type="dxa" w:w="6055"/>
          </w:tcPr>
          <w:p>
            <w:r/>
            <w:r>
              <w:rPr>
                <w:b w:val="0"/>
                <w:color w:val="1F2328"/>
                <w:sz w:val="18"/>
              </w:rPr>
              <w:t>Top Management via RAMT</w:t>
            </w:r>
          </w:p>
        </w:tc>
        <w:tc>
          <w:tcPr>
            <w:tcW w:type="dxa" w:w="1864"/>
          </w:tcPr>
          <w:p>
            <w:r/>
            <w:r>
              <w:rPr>
                <w:b w:val="0"/>
                <w:color w:val="1F2328"/>
                <w:sz w:val="18"/>
              </w:rPr>
              <w:t>Accepts residual High via RAMT. Residual Critical is not accepted. This is not a second approval of the method.</w:t>
            </w:r>
          </w:p>
        </w:tc>
      </w:tr>
      <w:tr>
        <w:trPr>
          <w:cantSplit/>
        </w:trPr>
        <w:tc>
          <w:tcPr>
            <w:tcW w:type="dxa" w:w="2161"/>
          </w:tcPr>
          <w:p>
            <w:r/>
            <w:r>
              <w:rPr>
                <w:b w:val="0"/>
                <w:color w:val="1F2328"/>
                <w:sz w:val="18"/>
              </w:rPr>
              <w:t>Contributors</w:t>
            </w:r>
          </w:p>
        </w:tc>
        <w:tc>
          <w:tcPr>
            <w:tcW w:type="dxa" w:w="6055"/>
          </w:tcPr>
          <w:p>
            <w:r/>
            <w:r>
              <w:rPr>
                <w:b w:val="0"/>
                <w:color w:val="1F2328"/>
                <w:sz w:val="18"/>
              </w:rPr>
              <w:t>Engineering, SRE, legal, supplier managers</w:t>
            </w:r>
          </w:p>
        </w:tc>
        <w:tc>
          <w:tcPr>
            <w:tcW w:type="dxa" w:w="1864"/>
          </w:tcPr>
          <w:p>
            <w:r/>
            <w:r>
              <w:rPr>
                <w:b w:val="0"/>
                <w:color w:val="1F2328"/>
                <w:sz w:val="18"/>
              </w:rPr>
              <w:t>Provide facts. They do not silently change scales.</w:t>
            </w:r>
          </w:p>
        </w:tc>
      </w:tr>
    </w:tbl>
    <w:p>
      <w:pPr>
        <w:spacing w:before="0" w:after="120"/>
      </w:pPr>
    </w:p>
    <w:p>
      <w:pPr>
        <w:pStyle w:val="974"/>
        <w:outlineLvl w:val="1"/>
      </w:pPr>
      <w:bookmarkStart w:id="17" w:name="_TocRAM013"/>
      <w:r>
        <w:t>Treatment and residual acceptance</w:t>
      </w:r>
      <w:bookmarkEnd w:id="17"/>
    </w:p>
    <w:p>
      <w:r>
        <w:rPr>
          <w:b w:val="0"/>
        </w:rPr>
        <w:t>After evaluation against the thresholds, choose one option. Modify is the default for High and the only path for Critical. This document does not select Annex A controls or produce a Statement of Applicability. Residual-risk acceptance is recorded in RAMT, not as a comment in the register.</w:t>
      </w:r>
    </w:p>
    <w:tbl>
      <w:tblPr>
        <w:tblStyle w:val="1033"/>
        <w:tblW w:type="dxa" w:w="10080"/>
        <w:jc w:val="left"/>
        <w:tblLayout w:type="fixed"/>
        <w:tblLook w:firstColumn="1" w:firstRow="1" w:lastColumn="0" w:lastRow="0" w:noHBand="0" w:noVBand="1" w:val="04A0"/>
      </w:tblPr>
      <w:tblGrid>
        <w:gridCol w:w="1432"/>
        <w:gridCol w:w="8648"/>
      </w:tblGrid>
      <w:tr>
        <w:trPr>
          <w:tblHeader/>
          <w:cantSplit/>
        </w:trPr>
        <w:tc>
          <w:tcPr>
            <w:tcW w:type="dxa" w:w="1432"/>
            <w:shd w:fill="F7F9FC"/>
          </w:tcPr>
          <w:p>
            <w:r/>
            <w:r>
              <w:rPr>
                <w:b/>
                <w:color w:val="1F6FEB"/>
                <w:sz w:val="18"/>
              </w:rPr>
              <w:t>Option</w:t>
            </w:r>
          </w:p>
        </w:tc>
        <w:tc>
          <w:tcPr>
            <w:tcW w:type="dxa" w:w="8648"/>
            <w:shd w:fill="F7F9FC"/>
          </w:tcPr>
          <w:p>
            <w:r/>
            <w:r>
              <w:rPr>
                <w:b/>
                <w:color w:val="1F6FEB"/>
                <w:sz w:val="18"/>
              </w:rPr>
              <w:t>Meaning</w:t>
            </w:r>
          </w:p>
        </w:tc>
      </w:tr>
      <w:tr>
        <w:trPr>
          <w:cantSplit/>
        </w:trPr>
        <w:tc>
          <w:tcPr>
            <w:tcW w:type="dxa" w:w="1432"/>
          </w:tcPr>
          <w:p>
            <w:r/>
            <w:r>
              <w:rPr>
                <w:b w:val="0"/>
                <w:color w:val="1F2328"/>
                <w:sz w:val="18"/>
              </w:rPr>
              <w:t>Modify</w:t>
            </w:r>
          </w:p>
        </w:tc>
        <w:tc>
          <w:tcPr>
            <w:tcW w:type="dxa" w:w="8648"/>
          </w:tcPr>
          <w:p>
            <w:r/>
            <w:r>
              <w:rPr>
                <w:b w:val="0"/>
                <w:color w:val="1F2328"/>
                <w:sz w:val="18"/>
              </w:rPr>
              <w:t>Reduce likelihood or impact through controls and tickets.</w:t>
            </w:r>
          </w:p>
        </w:tc>
      </w:tr>
      <w:tr>
        <w:trPr>
          <w:cantSplit/>
        </w:trPr>
        <w:tc>
          <w:tcPr>
            <w:tcW w:type="dxa" w:w="1432"/>
          </w:tcPr>
          <w:p>
            <w:r/>
            <w:r>
              <w:rPr>
                <w:b w:val="0"/>
                <w:color w:val="1F2328"/>
                <w:sz w:val="18"/>
              </w:rPr>
              <w:t>Avoid</w:t>
            </w:r>
          </w:p>
        </w:tc>
        <w:tc>
          <w:tcPr>
            <w:tcW w:type="dxa" w:w="8648"/>
          </w:tcPr>
          <w:p>
            <w:r/>
            <w:r>
              <w:rPr>
                <w:b w:val="0"/>
                <w:color w:val="1F2328"/>
                <w:sz w:val="18"/>
              </w:rPr>
              <w:t>Do not run the activity.</w:t>
            </w:r>
          </w:p>
        </w:tc>
      </w:tr>
      <w:tr>
        <w:trPr>
          <w:cantSplit/>
        </w:trPr>
        <w:tc>
          <w:tcPr>
            <w:tcW w:type="dxa" w:w="1432"/>
          </w:tcPr>
          <w:p>
            <w:r/>
            <w:r>
              <w:rPr>
                <w:b w:val="0"/>
                <w:color w:val="1F2328"/>
                <w:sz w:val="18"/>
              </w:rPr>
              <w:t>Transfer</w:t>
            </w:r>
          </w:p>
        </w:tc>
        <w:tc>
          <w:tcPr>
            <w:tcW w:type="dxa" w:w="8648"/>
          </w:tcPr>
          <w:p>
            <w:r/>
            <w:r>
              <w:rPr>
                <w:b w:val="0"/>
                <w:color w:val="1F2328"/>
                <w:sz w:val="18"/>
              </w:rPr>
              <w:t>Contract, insurance or supplier obligation. Arcfield remains accountable.</w:t>
            </w:r>
          </w:p>
        </w:tc>
      </w:tr>
      <w:tr>
        <w:trPr>
          <w:cantSplit/>
        </w:trPr>
        <w:tc>
          <w:tcPr>
            <w:tcW w:type="dxa" w:w="1432"/>
          </w:tcPr>
          <w:p>
            <w:r/>
            <w:r>
              <w:rPr>
                <w:b w:val="0"/>
                <w:color w:val="1F2328"/>
                <w:sz w:val="18"/>
              </w:rPr>
              <w:t>Accept</w:t>
            </w:r>
          </w:p>
        </w:tc>
        <w:tc>
          <w:tcPr>
            <w:tcW w:type="dxa" w:w="8648"/>
          </w:tcPr>
          <w:p>
            <w:r/>
            <w:r>
              <w:rPr>
                <w:b w:val="0"/>
                <w:color w:val="1F2328"/>
                <w:sz w:val="18"/>
              </w:rPr>
              <w:t>Live with residual exposure under the authority matrix.</w:t>
            </w:r>
          </w:p>
        </w:tc>
      </w:tr>
    </w:tbl>
    <w:p>
      <w:pPr>
        <w:spacing w:before="0" w:after="120"/>
      </w:pPr>
    </w:p>
    <w:p>
      <w:r>
        <w:rPr>
          <w:b w:val="0"/>
        </w:rPr>
        <w:t>RAMT is the residual-acceptance record. The list below is the minimum field set. A register comment is not acceptance.</w:t>
      </w:r>
    </w:p>
    <w:p>
      <w:r>
        <w:rPr>
          <w:b w:val="0"/>
        </w:rPr>
        <w:t>Copy these fields into RAMT. A register comment is not acceptance.</w:t>
      </w:r>
    </w:p>
    <w:p>
      <w:pPr>
        <w:pStyle w:val="1003"/>
        <w:ind w:left="360" w:hanging="259"/>
      </w:pPr>
      <w:r>
        <w:rPr>
          <w:b w:val="0"/>
        </w:rPr>
        <w:t>Risk ID</w:t>
      </w:r>
    </w:p>
    <w:p>
      <w:pPr>
        <w:pStyle w:val="1003"/>
        <w:ind w:left="360" w:hanging="259"/>
      </w:pPr>
      <w:r>
        <w:rPr>
          <w:b w:val="0"/>
        </w:rPr>
        <w:t>Inherent score</w:t>
      </w:r>
    </w:p>
    <w:p>
      <w:pPr>
        <w:pStyle w:val="1003"/>
        <w:ind w:left="360" w:hanging="259"/>
      </w:pPr>
      <w:r>
        <w:rPr>
          <w:b w:val="0"/>
        </w:rPr>
        <w:t>Residual score</w:t>
      </w:r>
    </w:p>
    <w:p>
      <w:pPr>
        <w:pStyle w:val="1003"/>
        <w:ind w:left="360" w:hanging="259"/>
      </w:pPr>
      <w:r>
        <w:rPr>
          <w:b w:val="0"/>
        </w:rPr>
        <w:t>Treatment actions taken</w:t>
      </w:r>
    </w:p>
    <w:p>
      <w:pPr>
        <w:pStyle w:val="1003"/>
        <w:ind w:left="360" w:hanging="259"/>
      </w:pPr>
      <w:r>
        <w:rPr>
          <w:b w:val="0"/>
        </w:rPr>
        <w:t>Rationale</w:t>
      </w:r>
    </w:p>
    <w:p>
      <w:pPr>
        <w:pStyle w:val="1003"/>
        <w:ind w:left="360" w:hanging="259"/>
      </w:pPr>
      <w:r>
        <w:rPr>
          <w:b w:val="0"/>
        </w:rPr>
        <w:t>Compensating controls</w:t>
      </w:r>
    </w:p>
    <w:p>
      <w:pPr>
        <w:pStyle w:val="1003"/>
        <w:ind w:left="360" w:hanging="259"/>
      </w:pPr>
      <w:r>
        <w:rPr>
          <w:b w:val="0"/>
        </w:rPr>
        <w:t>Accountable owner</w:t>
      </w:r>
    </w:p>
    <w:p>
      <w:pPr>
        <w:pStyle w:val="1003"/>
        <w:ind w:left="360" w:hanging="259"/>
      </w:pPr>
      <w:r>
        <w:rPr>
          <w:b w:val="0"/>
        </w:rPr>
        <w:t>Approval authority</w:t>
      </w:r>
    </w:p>
    <w:p>
      <w:pPr>
        <w:pStyle w:val="1003"/>
        <w:ind w:left="360" w:hanging="259"/>
      </w:pPr>
      <w:r>
        <w:rPr>
          <w:b w:val="0"/>
        </w:rPr>
        <w:t>Expiry date</w:t>
      </w:r>
    </w:p>
    <w:p>
      <w:pPr>
        <w:pStyle w:val="1003"/>
        <w:ind w:left="360" w:hanging="259"/>
      </w:pPr>
      <w:r>
        <w:rPr>
          <w:b w:val="0"/>
        </w:rPr>
        <w:t>Reassessment triggers</w:t>
      </w:r>
    </w:p>
    <w:p>
      <w:r>
        <w:rPr>
          <w:b w:val="0"/>
        </w:rPr>
        <w:t>Acceptance without authority, expiry or monitoring is invalid.</w:t>
      </w:r>
    </w:p>
    <w:p>
      <w:pPr>
        <w:pStyle w:val="974"/>
        <w:outlineLvl w:val="1"/>
      </w:pPr>
      <w:bookmarkStart w:id="18" w:name="_TocRAM014"/>
      <w:r>
        <w:t>Management escalation</w:t>
      </w:r>
      <w:bookmarkEnd w:id="18"/>
    </w:p>
    <w:p>
      <w:r>
        <w:rPr>
          <w:b w:val="0"/>
        </w:rPr>
        <w:t>Top Management must see the following at least in management review. Escalation evidence is the management-review pack or the RAMT record, not a chat message. Product teams may propose accepting Medium risk to hit a launch date; they may not hide High risk from the review.</w:t>
      </w:r>
    </w:p>
    <w:p>
      <w:pPr>
        <w:pStyle w:val="1003"/>
        <w:ind w:left="360" w:hanging="259"/>
      </w:pPr>
      <w:r>
        <w:rPr>
          <w:b w:val="0"/>
        </w:rPr>
        <w:t>Every High and Critical risk</w:t>
      </w:r>
    </w:p>
    <w:p>
      <w:pPr>
        <w:pStyle w:val="1003"/>
        <w:ind w:left="360" w:hanging="259"/>
      </w:pPr>
      <w:r>
        <w:rPr>
          <w:b w:val="0"/>
        </w:rPr>
        <w:t>Every overdue treatment action</w:t>
      </w:r>
    </w:p>
    <w:p>
      <w:pPr>
        <w:pStyle w:val="1003"/>
        <w:ind w:left="360" w:hanging="259"/>
      </w:pPr>
      <w:r>
        <w:rPr>
          <w:b w:val="0"/>
        </w:rPr>
        <w:t>Every residual risk above appetite</w:t>
      </w:r>
    </w:p>
    <w:p>
      <w:pPr>
        <w:pStyle w:val="1003"/>
        <w:ind w:left="360" w:hanging="259"/>
      </w:pPr>
      <w:r>
        <w:rPr>
          <w:b w:val="0"/>
        </w:rPr>
        <w:t>Every legal, customer-contract or certification-impacting residual risk</w:t>
      </w:r>
    </w:p>
    <w:p>
      <w:pPr>
        <w:pStyle w:val="974"/>
        <w:outlineLvl w:val="1"/>
      </w:pPr>
      <w:bookmarkStart w:id="19" w:name="_TocRAM015"/>
      <w:r>
        <w:t>Cadence and triggers</w:t>
      </w:r>
      <w:bookmarkEnd w:id="19"/>
    </w:p>
    <w:p>
      <w:r>
        <w:rPr>
          <w:b w:val="0"/>
        </w:rPr>
        <w:t>Planned reviews keep High and Critical items visible. Event triggers reopen scoring without waiting for the annual cycle. Annual re-approval of this method is Document Control, not a signature on the last page.</w:t>
      </w:r>
    </w:p>
    <w:tbl>
      <w:tblPr>
        <w:tblStyle w:val="1033"/>
        <w:tblW w:type="dxa" w:w="10080"/>
        <w:jc w:val="left"/>
        <w:tblLayout w:type="fixed"/>
        <w:tblLook w:firstColumn="1" w:firstRow="1" w:lastColumn="0" w:lastRow="0" w:noHBand="0" w:noVBand="1" w:val="04A0"/>
      </w:tblPr>
      <w:tblGrid>
        <w:gridCol w:w="1288"/>
        <w:gridCol w:w="1576"/>
        <w:gridCol w:w="7216"/>
      </w:tblGrid>
      <w:tr>
        <w:trPr>
          <w:tblHeader/>
          <w:cantSplit/>
        </w:trPr>
        <w:tc>
          <w:tcPr>
            <w:tcW w:type="dxa" w:w="1288"/>
            <w:shd w:fill="F7F9FC"/>
          </w:tcPr>
          <w:p>
            <w:r/>
            <w:r>
              <w:rPr>
                <w:b/>
                <w:color w:val="1F6FEB"/>
                <w:sz w:val="18"/>
              </w:rPr>
              <w:t>Kind</w:t>
            </w:r>
          </w:p>
        </w:tc>
        <w:tc>
          <w:tcPr>
            <w:tcW w:type="dxa" w:w="1576"/>
            <w:shd w:fill="F7F9FC"/>
          </w:tcPr>
          <w:p>
            <w:r/>
            <w:r>
              <w:rPr>
                <w:b/>
                <w:color w:val="1F6FEB"/>
                <w:sz w:val="18"/>
              </w:rPr>
              <w:t>When</w:t>
            </w:r>
          </w:p>
        </w:tc>
        <w:tc>
          <w:tcPr>
            <w:tcW w:type="dxa" w:w="7216"/>
            <w:shd w:fill="F7F9FC"/>
          </w:tcPr>
          <w:p>
            <w:r/>
            <w:r>
              <w:rPr>
                <w:b/>
                <w:color w:val="1F6FEB"/>
                <w:sz w:val="18"/>
              </w:rPr>
              <w:t>What</w:t>
            </w:r>
          </w:p>
        </w:tc>
      </w:tr>
      <w:tr>
        <w:trPr>
          <w:cantSplit/>
        </w:trPr>
        <w:tc>
          <w:tcPr>
            <w:tcW w:type="dxa" w:w="1288"/>
          </w:tcPr>
          <w:p>
            <w:r/>
            <w:r>
              <w:rPr>
                <w:b w:val="0"/>
                <w:color w:val="1F2328"/>
                <w:sz w:val="18"/>
              </w:rPr>
              <w:t>Planned</w:t>
            </w:r>
          </w:p>
        </w:tc>
        <w:tc>
          <w:tcPr>
            <w:tcW w:type="dxa" w:w="1576"/>
          </w:tcPr>
          <w:p>
            <w:r/>
            <w:r>
              <w:rPr>
                <w:b w:val="0"/>
                <w:color w:val="1F2328"/>
                <w:sz w:val="18"/>
              </w:rPr>
              <w:t>Quarterly</w:t>
            </w:r>
          </w:p>
        </w:tc>
        <w:tc>
          <w:tcPr>
            <w:tcW w:type="dxa" w:w="7216"/>
          </w:tcPr>
          <w:p>
            <w:r/>
            <w:r>
              <w:rPr>
                <w:b w:val="0"/>
                <w:color w:val="1F2328"/>
                <w:sz w:val="18"/>
              </w:rPr>
              <w:t>Review High and Critical items.</w:t>
            </w:r>
          </w:p>
        </w:tc>
      </w:tr>
      <w:tr>
        <w:trPr>
          <w:cantSplit/>
        </w:trPr>
        <w:tc>
          <w:tcPr>
            <w:tcW w:type="dxa" w:w="1288"/>
          </w:tcPr>
          <w:p>
            <w:r/>
            <w:r>
              <w:rPr>
                <w:b w:val="0"/>
                <w:color w:val="1F2328"/>
                <w:sz w:val="18"/>
              </w:rPr>
              <w:t>Planned</w:t>
            </w:r>
          </w:p>
        </w:tc>
        <w:tc>
          <w:tcPr>
            <w:tcW w:type="dxa" w:w="1576"/>
          </w:tcPr>
          <w:p>
            <w:r/>
            <w:r>
              <w:rPr>
                <w:b w:val="0"/>
                <w:color w:val="1F2328"/>
                <w:sz w:val="18"/>
              </w:rPr>
              <w:t>Annually</w:t>
            </w:r>
          </w:p>
        </w:tc>
        <w:tc>
          <w:tcPr>
            <w:tcW w:type="dxa" w:w="7216"/>
          </w:tcPr>
          <w:p>
            <w:r/>
            <w:r>
              <w:rPr>
                <w:b w:val="0"/>
                <w:color w:val="1F2328"/>
                <w:sz w:val="18"/>
              </w:rPr>
              <w:t>Re-approve this method.</w:t>
            </w:r>
          </w:p>
        </w:tc>
      </w:tr>
    </w:tbl>
    <w:p>
      <w:pPr>
        <w:spacing w:before="0" w:after="120"/>
      </w:pPr>
    </w:p>
    <w:p>
      <w:r>
        <w:rPr>
          <w:b w:val="0"/>
        </w:rPr>
        <w:t>Do not wait for the quarterly cycle. Open a new scoring pass when one of these events occurs.</w:t>
      </w:r>
    </w:p>
    <w:p>
      <w:pPr>
        <w:pStyle w:val="1003"/>
        <w:ind w:left="360" w:hanging="259"/>
      </w:pPr>
      <w:r>
        <w:rPr>
          <w:b w:val="0"/>
        </w:rPr>
        <w:t>Security incident</w:t>
      </w:r>
    </w:p>
    <w:p>
      <w:pPr>
        <w:pStyle w:val="1003"/>
        <w:ind w:left="360" w:hanging="259"/>
      </w:pPr>
      <w:r>
        <w:rPr>
          <w:b w:val="0"/>
        </w:rPr>
        <w:t>Architecture or identity-provider change</w:t>
      </w:r>
    </w:p>
    <w:p>
      <w:pPr>
        <w:pStyle w:val="1003"/>
        <w:ind w:left="360" w:hanging="259"/>
      </w:pPr>
      <w:r>
        <w:rPr>
          <w:b w:val="0"/>
        </w:rPr>
        <w:t>Onboarding or material change of a Tier-1 supplier</w:t>
      </w:r>
    </w:p>
    <w:p>
      <w:pPr>
        <w:pStyle w:val="1003"/>
        <w:ind w:left="360" w:hanging="259"/>
      </w:pPr>
      <w:r>
        <w:rPr>
          <w:b w:val="0"/>
        </w:rPr>
        <w:t>ISMS scope change</w:t>
      </w:r>
    </w:p>
    <w:p>
      <w:pPr>
        <w:pStyle w:val="1003"/>
        <w:ind w:left="360" w:hanging="259"/>
      </w:pPr>
      <w:r>
        <w:rPr>
          <w:b w:val="0"/>
        </w:rPr>
        <w:t>Audit finding</w:t>
      </w:r>
    </w:p>
    <w:p>
      <w:pPr>
        <w:pStyle w:val="1003"/>
        <w:ind w:left="360" w:hanging="259"/>
      </w:pPr>
      <w:r>
        <w:rPr>
          <w:b w:val="0"/>
        </w:rPr>
        <w:t>Missed RTO/RPO or a new regulated customer commitment</w:t>
      </w:r>
    </w:p>
    <w:p>
      <w:r>
        <w:rPr>
          <w:b w:val="0"/>
        </w:rPr>
        <w:t>Record the trigger in the risk register and in the ISMS change log.</w:t>
      </w:r>
    </w:p>
    <w:p>
      <w:pPr>
        <w:pStyle w:val="974"/>
        <w:outlineLvl w:val="1"/>
      </w:pPr>
      <w:bookmarkStart w:id="20" w:name="_TocRAM016"/>
      <w:r>
        <w:t>Software-company 80/20 calibration set</w:t>
      </w:r>
      <w:bookmarkEnd w:id="20"/>
    </w:p>
    <w:p>
      <w:r>
        <w:rPr>
          <w:b w:val="0"/>
        </w:rPr>
        <w:t>Use these types to start a Arcfield workshop. They are calibration prompts, not a copied risk library. Rewrite each in Arcfield Platform language or document why the type does not apply.</w:t>
      </w:r>
    </w:p>
    <w:tbl>
      <w:tblPr>
        <w:tblStyle w:val="1033"/>
        <w:tblW w:type="dxa" w:w="10080"/>
        <w:jc w:val="left"/>
        <w:tblLayout w:type="fixed"/>
        <w:tblLook w:firstColumn="1" w:firstRow="1" w:lastColumn="0" w:lastRow="0" w:noHBand="0" w:noVBand="1" w:val="04A0"/>
      </w:tblPr>
      <w:tblGrid>
        <w:gridCol w:w="2755"/>
        <w:gridCol w:w="2584"/>
        <w:gridCol w:w="4741"/>
      </w:tblGrid>
      <w:tr>
        <w:trPr>
          <w:tblHeader/>
          <w:cantSplit/>
        </w:trPr>
        <w:tc>
          <w:tcPr>
            <w:tcW w:type="dxa" w:w="2755"/>
            <w:shd w:fill="F7F9FC"/>
          </w:tcPr>
          <w:p>
            <w:r/>
            <w:r>
              <w:rPr>
                <w:b/>
                <w:color w:val="1F6FEB"/>
                <w:sz w:val="18"/>
              </w:rPr>
              <w:t>Type</w:t>
            </w:r>
          </w:p>
        </w:tc>
        <w:tc>
          <w:tcPr>
            <w:tcW w:type="dxa" w:w="2584"/>
            <w:shd w:fill="F7F9FC"/>
          </w:tcPr>
          <w:p>
            <w:r/>
            <w:r>
              <w:rPr>
                <w:b/>
                <w:color w:val="1F6FEB"/>
                <w:sz w:val="18"/>
              </w:rPr>
              <w:t>Prompt</w:t>
            </w:r>
          </w:p>
        </w:tc>
        <w:tc>
          <w:tcPr>
            <w:tcW w:type="dxa" w:w="4741"/>
            <w:shd w:fill="F7F9FC"/>
          </w:tcPr>
          <w:p>
            <w:r/>
            <w:r>
              <w:rPr>
                <w:b/>
                <w:color w:val="1F6FEB"/>
                <w:sz w:val="18"/>
              </w:rPr>
              <w:t>Typical treatment</w:t>
            </w:r>
          </w:p>
        </w:tc>
      </w:tr>
      <w:tr>
        <w:trPr>
          <w:cantSplit/>
        </w:trPr>
        <w:tc>
          <w:tcPr>
            <w:tcW w:type="dxa" w:w="2755"/>
          </w:tcPr>
          <w:p>
            <w:r/>
            <w:r>
              <w:rPr>
                <w:b w:val="0"/>
                <w:color w:val="1F2328"/>
                <w:sz w:val="18"/>
              </w:rPr>
              <w:t>Privileged access</w:t>
            </w:r>
          </w:p>
        </w:tc>
        <w:tc>
          <w:tcPr>
            <w:tcW w:type="dxa" w:w="2584"/>
          </w:tcPr>
          <w:p>
            <w:r/>
            <w:r>
              <w:rPr>
                <w:b w:val="0"/>
                <w:color w:val="1F2328"/>
                <w:sz w:val="18"/>
              </w:rPr>
              <w:t>Excessive cloud or production admin role remains after a role change.</w:t>
            </w:r>
          </w:p>
        </w:tc>
        <w:tc>
          <w:tcPr>
            <w:tcW w:type="dxa" w:w="4741"/>
          </w:tcPr>
          <w:p>
            <w:r/>
            <w:r>
              <w:rPr>
                <w:b w:val="0"/>
                <w:color w:val="1F2328"/>
                <w:sz w:val="18"/>
              </w:rPr>
              <w:t>Modify: access review, MFA, time-bound roles.</w:t>
            </w:r>
          </w:p>
        </w:tc>
      </w:tr>
      <w:tr>
        <w:trPr>
          <w:cantSplit/>
        </w:trPr>
        <w:tc>
          <w:tcPr>
            <w:tcW w:type="dxa" w:w="2755"/>
          </w:tcPr>
          <w:p>
            <w:r/>
            <w:r>
              <w:rPr>
                <w:b w:val="0"/>
                <w:color w:val="1F2328"/>
                <w:sz w:val="18"/>
              </w:rPr>
              <w:t>Cloud misconfiguration</w:t>
            </w:r>
          </w:p>
        </w:tc>
        <w:tc>
          <w:tcPr>
            <w:tcW w:type="dxa" w:w="2584"/>
          </w:tcPr>
          <w:p>
            <w:r/>
            <w:r>
              <w:rPr>
                <w:b w:val="0"/>
                <w:color w:val="1F2328"/>
                <w:sz w:val="18"/>
              </w:rPr>
              <w:t>Security-group or storage drift exposes an in-scope service.</w:t>
            </w:r>
          </w:p>
        </w:tc>
        <w:tc>
          <w:tcPr>
            <w:tcW w:type="dxa" w:w="4741"/>
          </w:tcPr>
          <w:p>
            <w:r/>
            <w:r>
              <w:rPr>
                <w:b w:val="0"/>
                <w:color w:val="1F2328"/>
                <w:sz w:val="18"/>
              </w:rPr>
              <w:t>Modify: baseline, drift detection, restore evidence.</w:t>
            </w:r>
          </w:p>
        </w:tc>
      </w:tr>
      <w:tr>
        <w:trPr>
          <w:cantSplit/>
        </w:trPr>
        <w:tc>
          <w:tcPr>
            <w:tcW w:type="dxa" w:w="2755"/>
          </w:tcPr>
          <w:p>
            <w:r/>
            <w:r>
              <w:rPr>
                <w:b w:val="0"/>
                <w:color w:val="1F2328"/>
                <w:sz w:val="18"/>
              </w:rPr>
              <w:t>CI/CD compromise</w:t>
            </w:r>
          </w:p>
        </w:tc>
        <w:tc>
          <w:tcPr>
            <w:tcW w:type="dxa" w:w="2584"/>
          </w:tcPr>
          <w:p>
            <w:r/>
            <w:r>
              <w:rPr>
                <w:b w:val="0"/>
                <w:color w:val="1F2328"/>
                <w:sz w:val="18"/>
              </w:rPr>
              <w:t>Pipeline credentials or unsigned artifacts can change production.</w:t>
            </w:r>
          </w:p>
        </w:tc>
        <w:tc>
          <w:tcPr>
            <w:tcW w:type="dxa" w:w="4741"/>
          </w:tcPr>
          <w:p>
            <w:r/>
            <w:r>
              <w:rPr>
                <w:b w:val="0"/>
                <w:color w:val="1F2328"/>
                <w:sz w:val="18"/>
              </w:rPr>
              <w:t>Modify: secret hygiene, signed builds, protected branches.</w:t>
            </w:r>
          </w:p>
        </w:tc>
      </w:tr>
      <w:tr>
        <w:trPr>
          <w:cantSplit/>
        </w:trPr>
        <w:tc>
          <w:tcPr>
            <w:tcW w:type="dxa" w:w="2755"/>
          </w:tcPr>
          <w:p>
            <w:r/>
            <w:r>
              <w:rPr>
                <w:b w:val="0"/>
                <w:color w:val="1F2328"/>
                <w:sz w:val="18"/>
              </w:rPr>
              <w:t>SaaS data leakage</w:t>
            </w:r>
          </w:p>
        </w:tc>
        <w:tc>
          <w:tcPr>
            <w:tcW w:type="dxa" w:w="2584"/>
          </w:tcPr>
          <w:p>
            <w:r/>
            <w:r>
              <w:rPr>
                <w:b w:val="0"/>
                <w:color w:val="1F2328"/>
                <w:sz w:val="18"/>
              </w:rPr>
              <w:t>Support or CRM export contains customer configuration or health data.</w:t>
            </w:r>
          </w:p>
        </w:tc>
        <w:tc>
          <w:tcPr>
            <w:tcW w:type="dxa" w:w="4741"/>
          </w:tcPr>
          <w:p>
            <w:r/>
            <w:r>
              <w:rPr>
                <w:b w:val="0"/>
                <w:color w:val="1F2328"/>
                <w:sz w:val="18"/>
              </w:rPr>
              <w:t>Modify: DLP path, classification, access limit; accept only via RAMT.</w:t>
            </w:r>
          </w:p>
        </w:tc>
      </w:tr>
      <w:tr>
        <w:trPr>
          <w:cantSplit/>
        </w:trPr>
        <w:tc>
          <w:tcPr>
            <w:tcW w:type="dxa" w:w="2755"/>
          </w:tcPr>
          <w:p>
            <w:r/>
            <w:r>
              <w:rPr>
                <w:b w:val="0"/>
                <w:color w:val="1F2328"/>
                <w:sz w:val="18"/>
              </w:rPr>
              <w:t>Critical supplier failure</w:t>
            </w:r>
          </w:p>
        </w:tc>
        <w:tc>
          <w:tcPr>
            <w:tcW w:type="dxa" w:w="2584"/>
          </w:tcPr>
          <w:p>
            <w:r/>
            <w:r>
              <w:rPr>
                <w:b w:val="0"/>
                <w:color w:val="1F2328"/>
                <w:sz w:val="18"/>
              </w:rPr>
              <w:t>A Tier-1 platform outage or breach hits Arcfield Platform availability or confidentiality.</w:t>
            </w:r>
          </w:p>
        </w:tc>
        <w:tc>
          <w:tcPr>
            <w:tcW w:type="dxa" w:w="4741"/>
          </w:tcPr>
          <w:p>
            <w:r/>
            <w:r>
              <w:rPr>
                <w:b w:val="0"/>
                <w:color w:val="1F2328"/>
                <w:sz w:val="18"/>
              </w:rPr>
              <w:t>Modify and/or transfer: SLA, fallback test, shared-responsibility record.</w:t>
            </w:r>
          </w:p>
        </w:tc>
      </w:tr>
      <w:tr>
        <w:trPr>
          <w:cantSplit/>
        </w:trPr>
        <w:tc>
          <w:tcPr>
            <w:tcW w:type="dxa" w:w="2755"/>
          </w:tcPr>
          <w:p>
            <w:r/>
            <w:r>
              <w:rPr>
                <w:b w:val="0"/>
                <w:color w:val="1F2328"/>
                <w:sz w:val="18"/>
              </w:rPr>
              <w:t>Availability incident</w:t>
            </w:r>
          </w:p>
        </w:tc>
        <w:tc>
          <w:tcPr>
            <w:tcW w:type="dxa" w:w="2584"/>
          </w:tcPr>
          <w:p>
            <w:r/>
            <w:r>
              <w:rPr>
                <w:b w:val="0"/>
                <w:color w:val="1F2328"/>
                <w:sz w:val="18"/>
              </w:rPr>
              <w:t>Core outage exceeds BIA RTO/RPO and customer or contractual impact.</w:t>
            </w:r>
          </w:p>
        </w:tc>
        <w:tc>
          <w:tcPr>
            <w:tcW w:type="dxa" w:w="4741"/>
          </w:tcPr>
          <w:p>
            <w:r/>
            <w:r>
              <w:rPr>
                <w:b w:val="0"/>
                <w:color w:val="1F2328"/>
                <w:sz w:val="18"/>
              </w:rPr>
              <w:t>Modify: SLO, backup restore test, incident evidence; residual via RAMT if needed.</w:t>
            </w:r>
          </w:p>
        </w:tc>
      </w:tr>
    </w:tbl>
    <w:p>
      <w:pPr>
        <w:spacing w:before="0" w:after="120"/>
      </w:pPr>
    </w:p>
    <w:p>
      <w:pPr>
        <w:pStyle w:val="974"/>
        <w:outlineLvl w:val="1"/>
      </w:pPr>
      <w:bookmarkStart w:id="21" w:name="_TocRAM017"/>
      <w:r>
        <w:t>Operating evidence sample</w:t>
      </w:r>
      <w:bookmarkEnd w:id="21"/>
    </w:p>
    <w:p>
      <w:r>
        <w:rPr>
          <w:b w:val="0"/>
        </w:rPr>
        <w:t>These records can be retrieved for the 2026-08-29 Arcfield / Arcfield Platform freeze. They are the sample an auditor can re-perform. They are not a second register grid.</w:t>
      </w:r>
    </w:p>
    <w:tbl>
      <w:tblPr>
        <w:tblStyle w:val="1033"/>
        <w:tblW w:type="dxa" w:w="10080"/>
        <w:jc w:val="left"/>
        <w:tblLayout w:type="fixed"/>
        <w:tblLook w:firstColumn="1" w:firstRow="1" w:lastColumn="0" w:lastRow="0" w:noHBand="0" w:noVBand="1" w:val="04A0"/>
      </w:tblPr>
      <w:tblGrid>
        <w:gridCol w:w="1720"/>
        <w:gridCol w:w="5200"/>
        <w:gridCol w:w="3160"/>
      </w:tblGrid>
      <w:tr>
        <w:trPr>
          <w:tblHeader/>
          <w:cantSplit/>
        </w:trPr>
        <w:tc>
          <w:tcPr>
            <w:tcW w:type="dxa" w:w="1720"/>
            <w:shd w:fill="F7F9FC"/>
          </w:tcPr>
          <w:p>
            <w:r/>
            <w:r>
              <w:rPr>
                <w:b/>
                <w:color w:val="1F6FEB"/>
                <w:sz w:val="18"/>
              </w:rPr>
              <w:t>Sample ID</w:t>
            </w:r>
          </w:p>
        </w:tc>
        <w:tc>
          <w:tcPr>
            <w:tcW w:type="dxa" w:w="5200"/>
            <w:shd w:fill="F7F9FC"/>
          </w:tcPr>
          <w:p>
            <w:r/>
            <w:r>
              <w:rPr>
                <w:b/>
                <w:color w:val="1F6FEB"/>
                <w:sz w:val="18"/>
              </w:rPr>
              <w:t>What was sampled</w:t>
            </w:r>
          </w:p>
        </w:tc>
        <w:tc>
          <w:tcPr>
            <w:tcW w:type="dxa" w:w="3160"/>
            <w:shd w:fill="F7F9FC"/>
          </w:tcPr>
          <w:p>
            <w:r/>
            <w:r>
              <w:rPr>
                <w:b/>
                <w:color w:val="1F6FEB"/>
                <w:sz w:val="18"/>
              </w:rPr>
              <w:t>Evidence reference</w:t>
            </w:r>
          </w:p>
        </w:tc>
      </w:tr>
      <w:tr>
        <w:trPr>
          <w:cantSplit/>
        </w:trPr>
        <w:tc>
          <w:tcPr>
            <w:tcW w:type="dxa" w:w="1720"/>
          </w:tcPr>
          <w:p>
            <w:r/>
            <w:r>
              <w:rPr>
                <w:b w:val="0"/>
                <w:color w:val="1F2328"/>
                <w:sz w:val="18"/>
              </w:rPr>
              <w:t>RAM-EV-001</w:t>
            </w:r>
          </w:p>
        </w:tc>
        <w:tc>
          <w:tcPr>
            <w:tcW w:type="dxa" w:w="5200"/>
          </w:tcPr>
          <w:p>
            <w:r/>
            <w:r>
              <w:rPr>
                <w:b w:val="0"/>
                <w:color w:val="1F2328"/>
                <w:sz w:val="18"/>
              </w:rPr>
              <w:t>Q3 residual-risk workshop pack and attendance (RAMT_Risk_Acceptance_Minutes.docx)</w:t>
            </w:r>
          </w:p>
        </w:tc>
        <w:tc>
          <w:tcPr>
            <w:tcW w:type="dxa" w:w="3160"/>
          </w:tcPr>
          <w:p>
            <w:r/>
            <w:r>
              <w:rPr>
                <w:b w:val="0"/>
                <w:color w:val="1F2328"/>
                <w:sz w:val="18"/>
              </w:rPr>
              <w:t>RAMT-2026-Q3</w:t>
            </w:r>
          </w:p>
        </w:tc>
      </w:tr>
      <w:tr>
        <w:trPr>
          <w:cantSplit/>
        </w:trPr>
        <w:tc>
          <w:tcPr>
            <w:tcW w:type="dxa" w:w="1720"/>
          </w:tcPr>
          <w:p>
            <w:r/>
            <w:r>
              <w:rPr>
                <w:b w:val="0"/>
                <w:color w:val="1F2328"/>
                <w:sz w:val="18"/>
              </w:rPr>
              <w:t>RAM-EV-002</w:t>
            </w:r>
          </w:p>
        </w:tc>
        <w:tc>
          <w:tcPr>
            <w:tcW w:type="dxa" w:w="5200"/>
          </w:tcPr>
          <w:p>
            <w:r/>
            <w:r>
              <w:rPr>
                <w:b w:val="0"/>
                <w:color w:val="1F2328"/>
                <w:sz w:val="18"/>
              </w:rPr>
              <w:t>Live risk register export (12 CIA scenarios) (RR_Risk_Register.xlsx)</w:t>
            </w:r>
          </w:p>
        </w:tc>
        <w:tc>
          <w:tcPr>
            <w:tcW w:type="dxa" w:w="3160"/>
          </w:tcPr>
          <w:p>
            <w:r/>
            <w:r>
              <w:rPr>
                <w:b w:val="0"/>
                <w:color w:val="1F2328"/>
                <w:sz w:val="18"/>
              </w:rPr>
              <w:t>RR-EXPORT-2026-08-29</w:t>
            </w:r>
          </w:p>
        </w:tc>
      </w:tr>
      <w:tr>
        <w:trPr>
          <w:cantSplit/>
        </w:trPr>
        <w:tc>
          <w:tcPr>
            <w:tcW w:type="dxa" w:w="1720"/>
          </w:tcPr>
          <w:p>
            <w:r/>
            <w:r>
              <w:rPr>
                <w:b w:val="0"/>
                <w:color w:val="1F2328"/>
                <w:sz w:val="18"/>
              </w:rPr>
              <w:t>RAM-EV-003</w:t>
            </w:r>
          </w:p>
        </w:tc>
        <w:tc>
          <w:tcPr>
            <w:tcW w:type="dxa" w:w="5200"/>
          </w:tcPr>
          <w:p>
            <w:r/>
            <w:r>
              <w:rPr>
                <w:b w:val="0"/>
                <w:color w:val="1F2328"/>
                <w:sz w:val="18"/>
              </w:rPr>
              <w:t>Treatment plan export for the same Risk IDs (RTP_Risk_Treatment_Plan.xlsx)</w:t>
            </w:r>
          </w:p>
        </w:tc>
        <w:tc>
          <w:tcPr>
            <w:tcW w:type="dxa" w:w="3160"/>
          </w:tcPr>
          <w:p>
            <w:r/>
            <w:r>
              <w:rPr>
                <w:b w:val="0"/>
                <w:color w:val="1F2328"/>
                <w:sz w:val="18"/>
              </w:rPr>
              <w:t>RTP-EXPORT-2026-08-29</w:t>
            </w:r>
          </w:p>
        </w:tc>
      </w:tr>
      <w:tr>
        <w:trPr>
          <w:cantSplit/>
        </w:trPr>
        <w:tc>
          <w:tcPr>
            <w:tcW w:type="dxa" w:w="1720"/>
          </w:tcPr>
          <w:p>
            <w:r/>
            <w:r>
              <w:rPr>
                <w:b w:val="0"/>
                <w:color w:val="1F2328"/>
                <w:sz w:val="18"/>
              </w:rPr>
              <w:t>RAM-EV-004</w:t>
            </w:r>
          </w:p>
        </w:tc>
        <w:tc>
          <w:tcPr>
            <w:tcW w:type="dxa" w:w="5200"/>
          </w:tcPr>
          <w:p>
            <w:r/>
            <w:r>
              <w:rPr>
                <w:b w:val="0"/>
                <w:color w:val="1F2328"/>
                <w:sz w:val="18"/>
              </w:rPr>
              <w:t>BIA RTO/RPO freeze cited by availability scenarios (BIA_Business_Impact_Analysis_BIA.docx)</w:t>
            </w:r>
          </w:p>
        </w:tc>
        <w:tc>
          <w:tcPr>
            <w:tcW w:type="dxa" w:w="3160"/>
          </w:tcPr>
          <w:p>
            <w:r/>
            <w:r>
              <w:rPr>
                <w:b w:val="0"/>
                <w:color w:val="1F2328"/>
                <w:sz w:val="18"/>
              </w:rPr>
              <w:t>BIA-WORKSHOP-2026-Q3</w:t>
            </w:r>
          </w:p>
        </w:tc>
      </w:tr>
      <w:tr>
        <w:trPr>
          <w:cantSplit/>
        </w:trPr>
        <w:tc>
          <w:tcPr>
            <w:tcW w:type="dxa" w:w="1720"/>
          </w:tcPr>
          <w:p>
            <w:r/>
            <w:r>
              <w:rPr>
                <w:b w:val="0"/>
                <w:color w:val="1F2328"/>
                <w:sz w:val="18"/>
              </w:rPr>
              <w:t>RAM-EV-005</w:t>
            </w:r>
          </w:p>
        </w:tc>
        <w:tc>
          <w:tcPr>
            <w:tcW w:type="dxa" w:w="5200"/>
          </w:tcPr>
          <w:p>
            <w:r/>
            <w:r>
              <w:rPr>
                <w:b w:val="0"/>
                <w:color w:val="1F2328"/>
                <w:sz w:val="18"/>
              </w:rPr>
              <w:t>Calibration set used in the Q3 workshop (This file (Document Control 1.1))</w:t>
            </w:r>
          </w:p>
        </w:tc>
        <w:tc>
          <w:tcPr>
            <w:tcW w:type="dxa" w:w="3160"/>
          </w:tcPr>
          <w:p>
            <w:r/>
            <w:r>
              <w:rPr>
                <w:b w:val="0"/>
                <w:color w:val="1F2328"/>
                <w:sz w:val="18"/>
              </w:rPr>
              <w:t>RAM-CAL-2026-Q3</w:t>
            </w:r>
          </w:p>
        </w:tc>
      </w:tr>
      <w:tr>
        <w:trPr>
          <w:cantSplit/>
        </w:trPr>
        <w:tc>
          <w:tcPr>
            <w:tcW w:type="dxa" w:w="1720"/>
          </w:tcPr>
          <w:p>
            <w:r/>
            <w:r>
              <w:rPr>
                <w:b w:val="0"/>
                <w:color w:val="1F2328"/>
                <w:sz w:val="18"/>
              </w:rPr>
              <w:t>RAM-EV-006</w:t>
            </w:r>
          </w:p>
        </w:tc>
        <w:tc>
          <w:tcPr>
            <w:tcW w:type="dxa" w:w="5200"/>
          </w:tcPr>
          <w:p>
            <w:r/>
            <w:r>
              <w:rPr>
                <w:b w:val="0"/>
                <w:color w:val="1F2328"/>
                <w:sz w:val="18"/>
              </w:rPr>
              <w:t>Frozen scales, thresholds and acceptance authority (This file (Document Control 1.1))</w:t>
            </w:r>
          </w:p>
        </w:tc>
        <w:tc>
          <w:tcPr>
            <w:tcW w:type="dxa" w:w="3160"/>
          </w:tcPr>
          <w:p>
            <w:r/>
            <w:r>
              <w:rPr>
                <w:b w:val="0"/>
                <w:color w:val="1F2328"/>
                <w:sz w:val="18"/>
              </w:rPr>
              <w:t>RAM-SCALES-2026-09-11</w:t>
            </w:r>
          </w:p>
        </w:tc>
      </w:tr>
      <w:tr>
        <w:trPr>
          <w:cantSplit/>
        </w:trPr>
        <w:tc>
          <w:tcPr>
            <w:tcW w:type="dxa" w:w="1720"/>
          </w:tcPr>
          <w:p>
            <w:r/>
            <w:r>
              <w:rPr>
                <w:b w:val="0"/>
                <w:color w:val="1F2328"/>
                <w:sz w:val="18"/>
              </w:rPr>
              <w:t>RAM-EV-007</w:t>
            </w:r>
          </w:p>
        </w:tc>
        <w:tc>
          <w:tcPr>
            <w:tcW w:type="dxa" w:w="5200"/>
          </w:tcPr>
          <w:p>
            <w:r/>
            <w:r>
              <w:rPr>
                <w:b w:val="0"/>
                <w:color w:val="1F2328"/>
                <w:sz w:val="18"/>
              </w:rPr>
              <w:t>Risk owner and deputy appointments (IRAR appointment records)</w:t>
            </w:r>
          </w:p>
        </w:tc>
        <w:tc>
          <w:tcPr>
            <w:tcW w:type="dxa" w:w="3160"/>
          </w:tcPr>
          <w:p>
            <w:r/>
            <w:r>
              <w:rPr>
                <w:b w:val="0"/>
                <w:color w:val="1F2328"/>
                <w:sz w:val="18"/>
              </w:rPr>
              <w:t>IRAR-2026-Q3</w:t>
            </w:r>
          </w:p>
        </w:tc>
      </w:tr>
      <w:tr>
        <w:trPr>
          <w:cantSplit/>
        </w:trPr>
        <w:tc>
          <w:tcPr>
            <w:tcW w:type="dxa" w:w="1720"/>
          </w:tcPr>
          <w:p>
            <w:r/>
            <w:r>
              <w:rPr>
                <w:b w:val="0"/>
                <w:color w:val="1F2328"/>
                <w:sz w:val="18"/>
              </w:rPr>
              <w:t>RAM-EV-008</w:t>
            </w:r>
          </w:p>
        </w:tc>
        <w:tc>
          <w:tcPr>
            <w:tcW w:type="dxa" w:w="5200"/>
          </w:tcPr>
          <w:p>
            <w:r/>
            <w:r>
              <w:rPr>
                <w:b w:val="0"/>
                <w:color w:val="1F2328"/>
                <w:sz w:val="18"/>
              </w:rPr>
              <w:t>SoA linkage sample for treated risks (SOA_Statement_of_Applicability_SoA.xlsx)</w:t>
            </w:r>
          </w:p>
        </w:tc>
        <w:tc>
          <w:tcPr>
            <w:tcW w:type="dxa" w:w="3160"/>
          </w:tcPr>
          <w:p>
            <w:r/>
            <w:r>
              <w:rPr>
                <w:b w:val="0"/>
                <w:color w:val="1F2328"/>
                <w:sz w:val="18"/>
              </w:rPr>
              <w:t>SOA-FULL-93-2026</w:t>
            </w:r>
          </w:p>
        </w:tc>
      </w:tr>
      <w:tr>
        <w:trPr>
          <w:cantSplit/>
        </w:trPr>
        <w:tc>
          <w:tcPr>
            <w:tcW w:type="dxa" w:w="1720"/>
          </w:tcPr>
          <w:p>
            <w:r/>
            <w:r>
              <w:rPr>
                <w:b w:val="0"/>
                <w:color w:val="1F2328"/>
                <w:sz w:val="18"/>
              </w:rPr>
              <w:t>RAM-EV-009</w:t>
            </w:r>
          </w:p>
        </w:tc>
        <w:tc>
          <w:tcPr>
            <w:tcW w:type="dxa" w:w="5200"/>
          </w:tcPr>
          <w:p>
            <w:r/>
            <w:r>
              <w:rPr>
                <w:b w:val="0"/>
                <w:color w:val="1F2328"/>
                <w:sz w:val="18"/>
              </w:rPr>
              <w:t>Next review of this method on the ISMS calendar (GC calendar export)</w:t>
            </w:r>
          </w:p>
        </w:tc>
        <w:tc>
          <w:tcPr>
            <w:tcW w:type="dxa" w:w="3160"/>
          </w:tcPr>
          <w:p>
            <w:r/>
            <w:r>
              <w:rPr>
                <w:b w:val="0"/>
                <w:color w:val="1F2328"/>
                <w:sz w:val="18"/>
              </w:rPr>
              <w:t>GC-RAM-2026-Q4</w:t>
            </w:r>
          </w:p>
        </w:tc>
      </w:tr>
      <w:tr>
        <w:trPr>
          <w:cantSplit/>
        </w:trPr>
        <w:tc>
          <w:tcPr>
            <w:tcW w:type="dxa" w:w="1720"/>
          </w:tcPr>
          <w:p>
            <w:r/>
            <w:r>
              <w:rPr>
                <w:b w:val="0"/>
                <w:color w:val="1F2328"/>
                <w:sz w:val="18"/>
              </w:rPr>
              <w:t>RAM-EV-010</w:t>
            </w:r>
          </w:p>
        </w:tc>
        <w:tc>
          <w:tcPr>
            <w:tcW w:type="dxa" w:w="5200"/>
          </w:tcPr>
          <w:p>
            <w:r/>
            <w:r>
              <w:rPr>
                <w:b w:val="0"/>
                <w:color w:val="1F2328"/>
                <w:sz w:val="18"/>
              </w:rPr>
              <w:t>Evidence log index for the Q3 risk cycle (EVID_Evidence_Log.xlsx)</w:t>
            </w:r>
          </w:p>
        </w:tc>
        <w:tc>
          <w:tcPr>
            <w:tcW w:type="dxa" w:w="3160"/>
          </w:tcPr>
          <w:p>
            <w:r/>
            <w:r>
              <w:rPr>
                <w:b w:val="0"/>
                <w:color w:val="1F2328"/>
                <w:sz w:val="18"/>
              </w:rPr>
              <w:t>EVID-RAM-2026-Q3</w:t>
            </w:r>
          </w:p>
        </w:tc>
      </w:tr>
    </w:tbl>
    <w:p>
      <w:pPr>
        <w:spacing w:before="0" w:after="120"/>
      </w:pPr>
    </w:p>
    <w:p>
      <w:pPr>
        <w:pStyle w:val="973"/>
        <w:outlineLvl w:val="0"/>
      </w:pPr>
      <w:bookmarkStart w:id="22" w:name="_TocRAM018"/>
      <w:bookmarkStart w:id="3" w:name="ref_evidence_and_records"/>
      <w:r>
        <w:t>Evidence and records</w:t>
      </w:r>
      <w:bookmarkEnd w:id="3"/>
      <w:bookmarkEnd w:id="22"/>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6" w:history="1">
        <w:r>
          <w:rPr>
            <w:color w:val="0563C1"/>
            <w:u w:val="single"/>
          </w:rPr>
          <w:t xml:space="preserve">Risk Register</w:t>
        </w:r>
      </w:hyperlink>
      <w:r>
        <w:rPr>
          <w:b w:val="0"/>
        </w:rPr>
        <w:t xml:space="preserve"> — Live risks with assessment, treatment linkage, residual-risk decision, SoA (Statement of Applicability) linkage, evidence and review dates.</w:t>
      </w:r>
    </w:p>
    <w:p>
      <w:pPr>
        <w:pStyle w:val="1006"/>
        <w:ind w:left="360" w:hanging="259"/>
        <w:numPr>
          <w:ilvl w:val="0"/>
          <w:numId w:val="11"/>
        </w:numPr>
      </w:pPr>
      <w:hyperlink r:id="rId17" w:history="1">
        <w:r>
          <w:rPr>
            <w:color w:val="0563C1"/>
            <w:u w:val="single"/>
          </w:rPr>
          <w:t xml:space="preserve">Risk Treatment Plan</w:t>
        </w:r>
      </w:hyperlink>
      <w:r>
        <w:rPr>
          <w:b w:val="0"/>
        </w:rPr>
        <w:t xml:space="preserve"> — Treatment actions linked to those risks, with control implementation, evidence, residual-risk approval and effectiveness checks.</w:t>
      </w:r>
    </w:p>
    <w:p>
      <w:pPr>
        <w:pStyle w:val="1006"/>
        <w:ind w:left="360" w:hanging="259"/>
        <w:numPr>
          <w:ilvl w:val="0"/>
          <w:numId w:val="11"/>
        </w:numPr>
      </w:pPr>
      <w:hyperlink r:id="rId18" w:history="1">
        <w:r>
          <w:rPr>
            <w:color w:val="0563C1"/>
            <w:u w:val="single"/>
          </w:rPr>
          <w:t xml:space="preserve">Risk Acceptance Minutes Template</w:t>
        </w:r>
      </w:hyperlink>
      <w:r>
        <w:rPr>
          <w:b w:val="0"/>
        </w:rPr>
        <w:t xml:space="preserve"> — Residual-risk acceptance decisions, with conditions and review dates.</w:t>
      </w:r>
    </w:p>
    <w:p>
      <w:pPr>
        <w:pStyle w:val="1006"/>
        <w:ind w:left="360" w:hanging="259"/>
        <w:numPr>
          <w:ilvl w:val="0"/>
          <w:numId w:val="11"/>
        </w:numPr>
      </w:pPr>
      <w:hyperlink r:id="rId19"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973"/>
        <w:outlineLvl w:val="0"/>
      </w:pPr>
      <w:bookmarkStart w:id="23" w:name="_TocRAM019"/>
      <w:bookmarkStart w:id="4" w:name="ref_external_references"/>
      <w:r>
        <w:t>References</w:t>
      </w:r>
      <w:bookmarkEnd w:id="4"/>
      <w:bookmarkEnd w:id="23"/>
    </w:p>
    <w:p>
      <w:pPr>
        <w:pStyle w:val="974"/>
        <w:outlineLvl w:val="1"/>
      </w:pPr>
      <w:bookmarkStart w:id="24" w:name="_TocRAM020"/>
      <w:r>
        <w:t>Linked documents</w:t>
      </w:r>
      <w:bookmarkEnd w:id="24"/>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16" w:history="1">
        <w:r>
          <w:rPr>
            <w:color w:val="0563C1"/>
            <w:u w:val="single"/>
          </w:rPr>
          <w:t xml:space="preserve">RR Risk Register</w:t>
        </w:r>
      </w:hyperlink>
      <w:r>
        <w:rPr>
          <w:b w:val="0"/>
        </w:rPr>
        <w:t xml:space="preserve"> — Stores scored scenarios that cite this frozen version.</w:t>
      </w:r>
    </w:p>
    <w:p>
      <w:pPr>
        <w:pStyle w:val="1006"/>
        <w:ind w:left="360" w:hanging="259"/>
        <w:numPr>
          <w:ilvl w:val="0"/>
          <w:numId w:val="12"/>
        </w:numPr>
      </w:pPr>
      <w:hyperlink r:id="rId17" w:history="1">
        <w:r>
          <w:rPr>
            <w:color w:val="0563C1"/>
            <w:u w:val="single"/>
          </w:rPr>
          <w:t xml:space="preserve">RTP Risk Treatment Plan</w:t>
        </w:r>
      </w:hyperlink>
      <w:r>
        <w:rPr>
          <w:b w:val="0"/>
        </w:rPr>
        <w:t xml:space="preserve"> — Turns modify, avoid or transfer into owned work.</w:t>
      </w:r>
    </w:p>
    <w:p>
      <w:pPr>
        <w:pStyle w:val="1006"/>
        <w:ind w:left="360" w:hanging="259"/>
        <w:numPr>
          <w:ilvl w:val="0"/>
          <w:numId w:val="12"/>
        </w:numPr>
      </w:pPr>
      <w:hyperlink r:id="rId19"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20" w:history="1">
        <w:r>
          <w:rPr>
            <w:color w:val="0563C1"/>
            <w:u w:val="single"/>
          </w:rPr>
          <w:t xml:space="preserve">SoA Statement of Applicability (Implementation &amp; Certification)</w:t>
        </w:r>
      </w:hyperlink>
      <w:r>
        <w:rPr>
          <w:b w:val="0"/>
        </w:rPr>
        <w:t xml:space="preserve"> — Out of scope. Do not map Annex A here.</w:t>
      </w:r>
    </w:p>
    <w:p>
      <w:pPr>
        <w:pStyle w:val="1006"/>
        <w:ind w:left="360" w:hanging="259"/>
        <w:numPr>
          <w:ilvl w:val="0"/>
          <w:numId w:val="12"/>
        </w:numPr>
      </w:pPr>
      <w:hyperlink r:id="rId21" w:history="1">
        <w:r>
          <w:rPr>
            <w:color w:val="0563C1"/>
            <w:u w:val="single"/>
          </w:rPr>
          <w:t xml:space="preserve">BIA Business Impact Analysis (Implementation &amp; Certification, Business Impact Analysis &amp; Business Continuity Planning)</w:t>
        </w:r>
      </w:hyperlink>
      <w:r>
        <w:rPr>
          <w:b w:val="0"/>
        </w:rPr>
        <w:t xml:space="preserve"> — Facts for availability impact (RTO/RPO, criticality).</w:t>
      </w:r>
    </w:p>
    <w:p>
      <w:pPr>
        <w:pStyle w:val="974"/>
        <w:outlineLvl w:val="1"/>
      </w:pPr>
      <w:bookmarkStart w:id="25" w:name="_TocRAM021"/>
      <w:r>
        <w:t>Linked templates</w:t>
      </w:r>
      <w:bookmarkEnd w:id="25"/>
    </w:p>
    <w:p>
      <w:r>
        <w:rPr>
          <w:b w:val="0"/>
        </w:rPr>
        <w:t>Recurring records use these companion templates. Do not keep a second schema in this file.</w:t>
      </w:r>
    </w:p>
    <w:p>
      <w:pPr>
        <w:pStyle w:val="1006"/>
        <w:ind w:left="360" w:hanging="259"/>
        <w:numPr>
          <w:ilvl w:val="0"/>
          <w:numId w:val="13"/>
        </w:numPr>
      </w:pPr>
      <w:hyperlink r:id="rId18" w:history="1">
        <w:r>
          <w:rPr>
            <w:color w:val="0563C1"/>
            <w:u w:val="single"/>
          </w:rPr>
          <w:t xml:space="preserve">RAMT Risk Acceptance Minutes Template</w:t>
        </w:r>
      </w:hyperlink>
      <w:r>
        <w:rPr>
          <w:b w:val="0"/>
        </w:rPr>
        <w:t xml:space="preserve"> — Residual-acceptance record with authority, expiry and triggers.</w:t>
      </w:r>
    </w:p>
    <w:p>
      <w:pPr>
        <w:pStyle w:val="974"/>
        <w:outlineLvl w:val="1"/>
      </w:pPr>
      <w:bookmarkStart w:id="26" w:name="_TocRAM022"/>
      <w:r>
        <w:t>External references</w:t>
      </w:r>
      <w:bookmarkEnd w:id="26"/>
    </w:p>
    <w:p>
      <w:r>
        <w:rPr>
          <w:b w:val="0"/>
        </w:rPr>
        <w:t>Cite these ISO clauses and book chapters from workshops and audits. MAGERIT/RASM (Risk Analysis Statement according to MAGERIT) and FAIR stay in their own artifacts.</w:t>
      </w:r>
    </w:p>
    <w:p>
      <w:pPr>
        <w:pStyle w:val="1006"/>
        <w:ind w:left="360" w:hanging="259"/>
        <w:numPr>
          <w:ilvl w:val="0"/>
          <w:numId w:val="14"/>
        </w:numPr>
      </w:pPr>
      <w:hyperlink r:id="rId22" w:history="1">
        <w:r>
          <w:rPr>
            <w:color w:val="0563C1"/>
            <w:u w:val="single"/>
          </w:rPr>
          <w:t xml:space="preserve">ISO/IEC 27001:2022 6.1.2</w:t>
        </w:r>
      </w:hyperlink>
      <w:r>
        <w:rPr>
          <w:b w:val="0"/>
        </w:rPr>
        <w:t xml:space="preserve"> — Repeatable method, criteria, CIA risks, owners, comparable scores.</w:t>
      </w:r>
    </w:p>
    <w:p>
      <w:pPr>
        <w:pStyle w:val="1006"/>
        <w:ind w:left="360" w:hanging="259"/>
        <w:numPr>
          <w:ilvl w:val="0"/>
          <w:numId w:val="14"/>
        </w:numPr>
      </w:pPr>
      <w:hyperlink r:id="rId22" w:history="1">
        <w:r>
          <w:rPr>
            <w:color w:val="0563C1"/>
            <w:u w:val="single"/>
          </w:rPr>
          <w:t xml:space="preserve">ISO/IEC 27001:2022 6.1.3</w:t>
        </w:r>
      </w:hyperlink>
      <w:r>
        <w:rPr>
          <w:b w:val="0"/>
        </w:rPr>
        <w:t xml:space="preserve"> — Treatment options and residual approval. SoA is a different artifact.</w:t>
      </w:r>
    </w:p>
    <w:p>
      <w:pPr>
        <w:pStyle w:val="1006"/>
        <w:ind w:left="360" w:hanging="259"/>
        <w:numPr>
          <w:ilvl w:val="0"/>
          <w:numId w:val="14"/>
        </w:numPr>
      </w:pPr>
      <w:hyperlink r:id="rId23" w:history="1">
        <w:r>
          <w:rPr>
            <w:color w:val="0563C1"/>
            <w:u w:val="single"/>
          </w:rPr>
          <w:t xml:space="preserve">Implementation &amp; Certification, Risk Assessment &amp; Risk Treatment Process</w:t>
        </w:r>
      </w:hyperlink>
      <w:r>
        <w:rPr>
          <w:b w:val="0"/>
        </w:rPr>
        <w:t xml:space="preserve"> — Primary operating model: freeze, scenario-first identification, residual with expiry.</w:t>
      </w:r>
    </w:p>
    <w:p>
      <w:pPr>
        <w:pStyle w:val="1006"/>
        <w:ind w:left="360" w:hanging="259"/>
        <w:numPr>
          <w:ilvl w:val="0"/>
          <w:numId w:val="14"/>
        </w:numPr>
      </w:pPr>
      <w:hyperlink r:id="rId24" w:history="1">
        <w:r>
          <w:rPr>
            <w:color w:val="0563C1"/>
            <w:u w:val="single"/>
          </w:rPr>
          <w:t xml:space="preserve">Building the ISMS, Planning, Risk &amp; Objectives (Clause 6)</w:t>
        </w:r>
      </w:hyperlink>
      <w:r>
        <w:rPr>
          <w:b w:val="0"/>
        </w:rPr>
        <w:t xml:space="preserve"> — Anchors, matrix thresholds and named acceptance authority.</w:t>
      </w:r>
    </w:p>
    <w:p>
      <w:pPr>
        <w:pStyle w:val="1006"/>
        <w:ind w:left="360" w:hanging="259"/>
        <w:numPr>
          <w:ilvl w:val="0"/>
          <w:numId w:val="14"/>
        </w:numPr>
      </w:pPr>
      <w:hyperlink r:id="rId24" w:history="1">
        <w:r>
          <w:rPr>
            <w:color w:val="0563C1"/>
            <w:u w:val="single"/>
          </w:rPr>
          <w:t xml:space="preserve">Building the ISMS, Information Security Policies &amp; Risk Management</w:t>
        </w:r>
      </w:hyperlink>
      <w:r>
        <w:rPr>
          <w:b w:val="0"/>
        </w:rPr>
        <w:t xml:space="preserve"> — Six-step cycle and software-company change triggers.</w:t>
      </w:r>
    </w:p>
    <w:p>
      <w:pPr>
        <w:pStyle w:val="1006"/>
        <w:ind w:left="360" w:hanging="259"/>
        <w:numPr>
          <w:ilvl w:val="0"/>
          <w:numId w:val="14"/>
        </w:numPr>
      </w:pPr>
      <w:hyperlink r:id="rId24" w:history="1">
        <w:r>
          <w:rPr>
            <w:color w:val="0563C1"/>
            <w:u w:val="single"/>
          </w:rPr>
          <w:t xml:space="preserve">Building the ISMS, Planning, Risk &amp; Objectives (Clause 6)</w:t>
        </w:r>
      </w:hyperlink>
      <w:r>
        <w:rPr>
          <w:b w:val="0"/>
        </w:rPr>
        <w:t xml:space="preserve"> — Clause 6.1.2 method one-pager: impact and likelihood anchors, matrix thresholds, acceptance authority, comparable scores, register entry fields</w:t>
      </w:r>
    </w:p>
    <w:p>
      <w:pPr>
        <w:pStyle w:val="1006"/>
        <w:ind w:left="360" w:hanging="259"/>
        <w:numPr>
          <w:ilvl w:val="0"/>
          <w:numId w:val="14"/>
        </w:numPr>
      </w:pPr>
      <w:hyperlink r:id="rId23" w:history="1">
        <w:r>
          <w:rPr>
            <w:color w:val="0563C1"/>
            <w:u w:val="single"/>
          </w:rPr>
          <w:t xml:space="preserve">Implementation &amp; Certification, Risk Assessment &amp; Risk Treatment Process</w:t>
        </w:r>
      </w:hyperlink>
      <w:r>
        <w:rPr>
          <w:b w:val="0"/>
        </w:rPr>
        <w:t xml:space="preserve"> — Method freeze, scenario-first identification, residual acceptance with expiry and triggers, 80/20 software-company scenarios</w:t>
      </w:r>
    </w:p>
    <w:p>
      <w:pPr>
        <w:pStyle w:val="1006"/>
        <w:ind w:left="360" w:hanging="259"/>
        <w:numPr>
          <w:ilvl w:val="0"/>
          <w:numId w:val="14"/>
        </w:numPr>
      </w:pPr>
      <w:hyperlink r:id="rId24" w:history="1">
        <w:r>
          <w:rPr>
            <w:color w:val="0563C1"/>
            <w:u w:val="single"/>
          </w:rPr>
          <w:t xml:space="preserve">Building the ISMS, Information Security Policies &amp; Risk Management</w:t>
        </w:r>
      </w:hyperlink>
      <w:r>
        <w:rPr>
          <w:b w:val="0"/>
        </w:rPr>
        <w:t xml:space="preserve"> — Area 2 six-step cycle (context, identify, analyse, evaluate, treat, monitor) and software-company change triggers</w:t>
      </w:r>
    </w:p>
    <w:p>
      <w:pPr>
        <w:pStyle w:val="1006"/>
        <w:ind w:left="360" w:hanging="259"/>
        <w:numPr>
          <w:ilvl w:val="0"/>
          <w:numId w:val="14"/>
        </w:numPr>
      </w:pPr>
      <w:hyperlink r:id="rId25" w:history="1">
        <w:r>
          <w:rPr>
            <w:color w:val="0563C1"/>
            <w:u w:val="single"/>
          </w:rPr>
          <w:t xml:space="preserve">ISO 31000</w:t>
        </w:r>
      </w:hyperlink>
      <w:r>
        <w:rPr>
          <w:b w:val="0"/>
        </w:rPr>
        <w:t xml:space="preserve"> — Context only. Not a second method.</w:t>
      </w:r>
    </w:p>
    <w:p>
      <w:pPr>
        <w:pStyle w:val="1006"/>
        <w:ind w:left="360" w:hanging="259"/>
        <w:numPr>
          <w:ilvl w:val="0"/>
          <w:numId w:val="14"/>
        </w:numPr>
      </w:pPr>
      <w:hyperlink r:id="rId26" w:history="1">
        <w:r>
          <w:rPr>
            <w:color w:val="0563C1"/>
            <w:u w:val="single"/>
          </w:rPr>
          <w:t xml:space="preserve">ISO/IEC 27005</w:t>
        </w:r>
      </w:hyperlink>
      <w:r>
        <w:rPr>
          <w:b w:val="0"/>
        </w:rPr>
        <w:t xml:space="preserve"> — Context only. Not a second method.</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Risk Assessment Methodology (RAM)</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yperlink" Target="RR_Risk_Register.xlsx" TargetMode="External"/><Relationship Id="rId17" Type="http://schemas.openxmlformats.org/officeDocument/2006/relationships/hyperlink" Target="RTP_Risk_Treatment_Plan_Register.xlsx" TargetMode="External"/><Relationship Id="rId18" Type="http://schemas.openxmlformats.org/officeDocument/2006/relationships/hyperlink" Target="RAMT_Risk_Acceptance_Minutes_Template.docx" TargetMode="External"/><Relationship Id="rId19" Type="http://schemas.openxmlformats.org/officeDocument/2006/relationships/hyperlink" Target="MDR_Mandatory_Documents_and_Records_Register.xlsx" TargetMode="External"/><Relationship Id="rId20" Type="http://schemas.openxmlformats.org/officeDocument/2006/relationships/hyperlink" Target="SOA_Statement_of_Applicability_SoA_Coverage.xlsx" TargetMode="External"/><Relationship Id="rId21" Type="http://schemas.openxmlformats.org/officeDocument/2006/relationships/hyperlink" Target="BIA_Business_Impact_Analysis_BIA_Statement_Plan.docx" TargetMode="External"/><Relationship Id="rId22" Type="http://schemas.openxmlformats.org/officeDocument/2006/relationships/hyperlink" Target="https://www.iso.org/standard/82875.html" TargetMode="External"/><Relationship Id="rId23" Type="http://schemas.openxmlformats.org/officeDocument/2006/relationships/hyperlink" Target="https://www.amazon.com/s?k=ISO+27001+for+Software+Companies+Implementation+and+Certification" TargetMode="External"/><Relationship Id="rId24" Type="http://schemas.openxmlformats.org/officeDocument/2006/relationships/hyperlink" Target="https://www.amazon.com/dp/9789908983448" TargetMode="External"/><Relationship Id="rId25" Type="http://schemas.openxmlformats.org/officeDocument/2006/relationships/hyperlink" Target="https://www.iso.org/standard/65694.html" TargetMode="External"/><Relationship Id="rId26" Type="http://schemas.openxmlformats.org/officeDocument/2006/relationships/hyperlink" Target="https://www.iso.org/standard/80585.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 Methodology</dc:title>
  <dc:subject>Official ExportableProof Companion Artifact RAM</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Methodology</cp:category>
</cp:coreProperties>
</file>