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ISMS Scope Statement</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defines the Arcfield ISMS (Information Security Management System) audit boundary, including scope decision principles, context inputs, interested parties, included boundaries, exclusions, shared responsibilities, change triggers and downstream traceability. This statement remains binding for the certified Arcfield Platform ISMS in the surveillance cycle after certificate ARC-ISMS-2025-001.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ISMS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Top Management</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352"/>
        <w:gridCol w:w="1720"/>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352"/>
            <w:shd w:fill="F7F9FC"/>
          </w:tcPr>
          <w:p>
            <w:r/>
            <w:r>
              <w:rPr>
                <w:b/>
                <w:color w:val="1F6FEB"/>
                <w:sz w:val="18"/>
              </w:rPr>
              <w:t>Change</w:t>
            </w:r>
          </w:p>
        </w:tc>
        <w:tc>
          <w:tcPr>
            <w:tcW w:type="dxa" w:w="1720"/>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352"/>
          </w:tcPr>
          <w:p>
            <w:r/>
            <w:r>
              <w:rPr>
                <w:b w:val="0"/>
                <w:color w:val="1F2328"/>
                <w:sz w:val="18"/>
              </w:rPr>
              <w:t>Initial Arcfield Platform publication.</w:t>
            </w:r>
          </w:p>
        </w:tc>
        <w:tc>
          <w:tcPr>
            <w:tcW w:type="dxa" w:w="1720"/>
          </w:tcPr>
          <w:p>
            <w:r/>
            <w:r>
              <w:rPr>
                <w:b w:val="0"/>
                <w:color w:val="1F2328"/>
                <w:sz w:val="18"/>
              </w:rPr>
              <w:t>Top Management</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352"/>
          </w:tcPr>
          <w:p>
            <w:r/>
            <w:r>
              <w:rPr>
                <w:b w:val="0"/>
                <w:color w:val="1F2328"/>
                <w:sz w:val="18"/>
              </w:rPr>
              <w:t>Approved Arcfield worked example after the 11 September 2026 internal audit.</w:t>
            </w:r>
          </w:p>
        </w:tc>
        <w:tc>
          <w:tcPr>
            <w:tcW w:type="dxa" w:w="1720"/>
          </w:tcPr>
          <w:p>
            <w:r/>
            <w:r>
              <w:rPr>
                <w:b w:val="0"/>
                <w:color w:val="1F2328"/>
                <w:sz w:val="18"/>
              </w:rPr>
              <w:t>Top Management</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Scope</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statement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Systems, integrations and data</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Scope decision principle</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Management approval and accountability</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Context inputs</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Interested parties</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ISMS scope statement</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Exclusions</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Interfaces and dependencies</w:t>
            </w:r>
            <w:r>
              <w:tab/>
            </w:r>
            <w:r>
              <w:fldChar w:fldCharType="begin"/>
              <w:instrText xml:space="preserve"> PAGEREF _TocRAM012 \h </w:instrText>
              <w:fldChar w:fldCharType="separate"/>
              <w:t xml:space="preserve"> </w:t>
              <w:fldChar w:fldCharType="end"/>
            </w:r>
          </w:hyperlink>
        </w:p>
        <w:p>
          <w:pPr>
            <w:pStyle w:val="958"/>
            <w:tabs>
              <w:tab w:val="right" w:leader="dot" w:pos="10080"/>
            </w:tabs>
          </w:pPr>
          <w:hyperlink w:anchor="_TocRAM013" w:history="1">
            <w:r>
              <w:rPr>
                <w:rStyle w:val="955"/>
              </w:rPr>
              <w:t xml:space="preserve">Scope change triggers</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Operating evidence sample</w:t>
            </w:r>
            <w:r>
              <w:tab/>
            </w:r>
            <w:r>
              <w:fldChar w:fldCharType="begin"/>
              <w:instrText xml:space="preserve"> PAGEREF _TocRAM014 \h </w:instrText>
              <w:fldChar w:fldCharType="separate"/>
              <w:t xml:space="preserve"> </w:t>
              <w:fldChar w:fldCharType="end"/>
            </w:r>
          </w:hyperlink>
        </w:p>
        <w:p>
          <w:pPr>
            <w:pStyle w:val="957"/>
            <w:tabs>
              <w:tab w:val="right" w:leader="dot" w:pos="10080"/>
            </w:tabs>
          </w:pPr>
          <w:hyperlink w:anchor="_TocRAM015" w:history="1">
            <w:r>
              <w:rPr>
                <w:rStyle w:val="955"/>
              </w:rPr>
              <w:t xml:space="preserve">Exclusion approval matrix</w:t>
            </w:r>
            <w:r>
              <w:tab/>
            </w:r>
            <w:r>
              <w:fldChar w:fldCharType="begin"/>
              <w:instrText xml:space="preserve"> PAGEREF _TocRAM015 \h </w:instrText>
              <w:fldChar w:fldCharType="separate"/>
              <w:t xml:space="preserve"> </w:t>
              <w:fldChar w:fldCharType="end"/>
            </w:r>
          </w:hyperlink>
        </w:p>
        <w:p>
          <w:pPr>
            <w:pStyle w:val="957"/>
            <w:tabs>
              <w:tab w:val="right" w:leader="dot" w:pos="10080"/>
            </w:tabs>
          </w:pPr>
          <w:hyperlink w:anchor="_TocRAM016" w:history="1">
            <w:r>
              <w:rPr>
                <w:rStyle w:val="955"/>
              </w:rPr>
              <w:t xml:space="preserve">Evidence and records</w:t>
            </w:r>
            <w:r>
              <w:tab/>
            </w:r>
            <w:r>
              <w:fldChar w:fldCharType="begin"/>
              <w:instrText xml:space="preserve"> PAGEREF _TocRAM016 \h </w:instrText>
              <w:fldChar w:fldCharType="separate"/>
              <w:t xml:space="preserve"> </w:t>
              <w:fldChar w:fldCharType="end"/>
            </w:r>
          </w:hyperlink>
        </w:p>
        <w:p>
          <w:pPr>
            <w:pStyle w:val="957"/>
            <w:tabs>
              <w:tab w:val="right" w:leader="dot" w:pos="10080"/>
            </w:tabs>
          </w:pPr>
          <w:hyperlink w:anchor="_TocRAM017" w:history="1">
            <w:r>
              <w:rPr>
                <w:rStyle w:val="955"/>
              </w:rPr>
              <w:t xml:space="preserve">References</w:t>
            </w:r>
            <w:r>
              <w:tab/>
            </w:r>
            <w:r>
              <w:fldChar w:fldCharType="begin"/>
              <w:instrText xml:space="preserve"> PAGEREF _TocRAM017 \h </w:instrText>
              <w:fldChar w:fldCharType="separate"/>
              <w:t xml:space="preserve"> </w:t>
              <w:fldChar w:fldCharType="end"/>
            </w:r>
          </w:hyperlink>
        </w:p>
        <w:p>
          <w:pPr>
            <w:pStyle w:val="958"/>
            <w:tabs>
              <w:tab w:val="right" w:leader="dot" w:pos="10080"/>
            </w:tabs>
          </w:pPr>
          <w:hyperlink w:anchor="_TocRAM018" w:history="1">
            <w:r>
              <w:rPr>
                <w:rStyle w:val="955"/>
              </w:rPr>
              <w:t xml:space="preserve">Linked documents</w:t>
            </w:r>
            <w:r>
              <w:tab/>
            </w:r>
            <w:r>
              <w:fldChar w:fldCharType="begin"/>
              <w:instrText xml:space="preserve"> PAGEREF _TocRAM018 \h </w:instrText>
              <w:fldChar w:fldCharType="separate"/>
              <w:t xml:space="preserve"> </w:t>
              <w:fldChar w:fldCharType="end"/>
            </w:r>
          </w:hyperlink>
        </w:p>
        <w:p>
          <w:pPr>
            <w:pStyle w:val="958"/>
            <w:tabs>
              <w:tab w:val="right" w:leader="dot" w:pos="10080"/>
            </w:tabs>
          </w:pPr>
          <w:hyperlink w:anchor="_TocRAM019" w:history="1">
            <w:r>
              <w:rPr>
                <w:rStyle w:val="955"/>
              </w:rPr>
              <w:t xml:space="preserve">External references</w:t>
            </w:r>
            <w:r>
              <w:tab/>
            </w:r>
            <w:r>
              <w:fldChar w:fldCharType="begin"/>
              <w:instrText xml:space="preserve"> PAGEREF _TocRAM019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Do not treat exclusions as shortcuts; every exclusion needs rationale, approval, review and downstream traceability.</w:t>
              <w:br/>
              <w:br/>
              <w:t>Book reference: Building the ISMS, Context of the Organization (Clause 4)</w:t>
            </w:r>
          </w:p>
        </w:tc>
      </w:tr>
    </w:tbl>
    <w:p>
      <w:r>
        <w:br w:type="page"/>
      </w:r>
    </w:p>
    <w:p>
      <w:pPr>
        <w:pStyle w:val="973"/>
        <w:outlineLvl w:val="0"/>
      </w:pPr>
      <w:bookmarkStart w:id="6" w:name="_TocRAM001"/>
      <w:bookmarkStart w:id="2" w:name="ref_scope_content"/>
      <w:r>
        <w:t>Scope</w:t>
      </w:r>
      <w:bookmarkEnd w:id="2"/>
      <w:bookmarkEnd w:id="6"/>
    </w:p>
    <w:p>
      <w:pPr>
        <w:pStyle w:val="974"/>
        <w:outlineLvl w:val="1"/>
      </w:pPr>
      <w:bookmarkStart w:id="7" w:name="_TocRAM002"/>
      <w:r>
        <w:t>What this statement is</w:t>
      </w:r>
      <w:bookmarkEnd w:id="7"/>
    </w:p>
    <w:p>
      <w:r>
        <w:rPr>
          <w:b w:val="0"/>
        </w:rPr>
        <w:t>This document is Arcfield's ISMS Scope Statement. It freezes what is inside the Information Security Management System and which exclusions are approved. It is not the Organization Statement, not the asset inventory and not the Statement of Applicability. Risk, SoA, audit and supplier assurance all cite this Document Control version. Do not copy the boundary into those records.</w:t>
      </w:r>
    </w:p>
    <w:p>
      <w:pPr>
        <w:pStyle w:val="974"/>
        <w:outlineLvl w:val="1"/>
      </w:pPr>
      <w:bookmarkStart w:id="8" w:name="_TocRAM003"/>
      <w:r>
        <w:t>Scope</w:t>
      </w:r>
      <w:bookmarkEnd w:id="8"/>
    </w:p>
    <w:p>
      <w:r>
        <w:rPr>
          <w:b w:val="0"/>
        </w:rPr>
        <w:t>Use this table before you freeze a boundary or exclusion. The ISMS scope statement later in this file is the boundary itself.</w:t>
      </w:r>
    </w:p>
    <w:tbl>
      <w:tblPr>
        <w:tblStyle w:val="1033"/>
        <w:tblW w:type="dxa" w:w="10080"/>
        <w:jc w:val="left"/>
        <w:tblLayout w:type="fixed"/>
        <w:tblLook w:firstColumn="1" w:firstRow="1" w:lastColumn="0" w:lastRow="0" w:noHBand="0" w:noVBand="1" w:val="04A0"/>
      </w:tblPr>
      <w:tblGrid>
        <w:gridCol w:w="1864"/>
        <w:gridCol w:w="3723"/>
        <w:gridCol w:w="2728"/>
        <w:gridCol w:w="1765"/>
      </w:tblGrid>
      <w:tr>
        <w:trPr>
          <w:tblHeader/>
          <w:cantSplit/>
        </w:trPr>
        <w:tc>
          <w:tcPr>
            <w:tcW w:type="dxa" w:w="1864"/>
            <w:shd w:fill="F7F9FC"/>
          </w:tcPr>
          <w:p>
            <w:r/>
            <w:r>
              <w:rPr>
                <w:b/>
                <w:color w:val="1F6FEB"/>
                <w:sz w:val="18"/>
              </w:rPr>
              <w:t>In this statement</w:t>
            </w:r>
          </w:p>
        </w:tc>
        <w:tc>
          <w:tcPr>
            <w:tcW w:type="dxa" w:w="3723"/>
            <w:shd w:fill="F7F9FC"/>
          </w:tcPr>
          <w:p>
            <w:r/>
            <w:r>
              <w:rPr>
                <w:b/>
                <w:color w:val="1F6FEB"/>
                <w:sz w:val="18"/>
              </w:rPr>
              <w:t>Not in this statement</w:t>
            </w:r>
          </w:p>
        </w:tc>
        <w:tc>
          <w:tcPr>
            <w:tcW w:type="dxa" w:w="2728"/>
            <w:shd w:fill="F7F9FC"/>
          </w:tcPr>
          <w:p>
            <w:r/>
            <w:r>
              <w:rPr>
                <w:b/>
                <w:color w:val="1F6FEB"/>
                <w:sz w:val="18"/>
              </w:rPr>
              <w:t>Evidence reference</w:t>
            </w:r>
          </w:p>
        </w:tc>
        <w:tc>
          <w:tcPr>
            <w:tcW w:type="dxa" w:w="1765"/>
            <w:shd w:fill="F7F9FC"/>
          </w:tcPr>
          <w:p>
            <w:r/>
            <w:r>
              <w:rPr>
                <w:b/>
                <w:color w:val="1F6FEB"/>
                <w:sz w:val="18"/>
              </w:rPr>
              <w:t>Evidence status</w:t>
            </w:r>
          </w:p>
        </w:tc>
      </w:tr>
      <w:tr>
        <w:trPr>
          <w:cantSplit/>
        </w:trPr>
        <w:tc>
          <w:tcPr>
            <w:tcW w:type="dxa" w:w="1864"/>
          </w:tcPr>
          <w:p>
            <w:r/>
            <w:r>
              <w:rPr>
                <w:b w:val="0"/>
                <w:color w:val="1F2328"/>
                <w:sz w:val="18"/>
              </w:rPr>
              <w:t>The ISMS boundary, justified exclusions, interfaces and change triggers.</w:t>
            </w:r>
          </w:p>
        </w:tc>
        <w:tc>
          <w:tcPr>
            <w:tcW w:type="dxa" w:w="3723"/>
          </w:tcPr>
          <w:p>
            <w:r/>
            <w:r>
              <w:rPr>
                <w:b w:val="0"/>
                <w:color w:val="1F2328"/>
                <w:sz w:val="18"/>
              </w:rPr>
              <w:t>ISMS roles and deputies. Those live in the Organization Statement.</w:t>
            </w:r>
          </w:p>
        </w:tc>
        <w:tc>
          <w:tcPr>
            <w:tcW w:type="dxa" w:w="2728"/>
          </w:tcPr>
          <w:p>
            <w:r/>
            <w:r>
              <w:rPr>
                <w:b w:val="0"/>
                <w:color w:val="1F2328"/>
                <w:sz w:val="18"/>
              </w:rPr>
              <w:t>ISS-SCOPE-2026-Q3</w:t>
            </w:r>
          </w:p>
        </w:tc>
        <w:tc>
          <w:tcPr>
            <w:tcW w:type="dxa" w:w="1765"/>
          </w:tcPr>
          <w:p>
            <w:r/>
            <w:r>
              <w:rPr>
                <w:b w:val="0"/>
                <w:color w:val="1F2328"/>
                <w:sz w:val="18"/>
              </w:rPr>
              <w:t>Complete</w:t>
            </w:r>
          </w:p>
        </w:tc>
      </w:tr>
      <w:tr>
        <w:trPr>
          <w:cantSplit/>
        </w:trPr>
        <w:tc>
          <w:tcPr>
            <w:tcW w:type="dxa" w:w="1864"/>
          </w:tcPr>
          <w:p>
            <w:r/>
            <w:r>
              <w:rPr>
                <w:b w:val="0"/>
                <w:color w:val="1F2328"/>
                <w:sz w:val="18"/>
              </w:rPr>
              <w:t>Interfaces that can affect CIA of in-scope services, including cloud and critical suppliers.</w:t>
            </w:r>
          </w:p>
        </w:tc>
        <w:tc>
          <w:tcPr>
            <w:tcW w:type="dxa" w:w="3723"/>
          </w:tcPr>
          <w:p>
            <w:r/>
            <w:r>
              <w:rPr>
                <w:b w:val="0"/>
                <w:color w:val="1F2328"/>
                <w:sz w:val="18"/>
              </w:rPr>
              <w:t>Annex A control selection. That is the SoA.</w:t>
            </w:r>
          </w:p>
        </w:tc>
        <w:tc>
          <w:tcPr>
            <w:tcW w:type="dxa" w:w="2728"/>
          </w:tcPr>
          <w:p>
            <w:r/>
            <w:r>
              <w:rPr>
                <w:b w:val="0"/>
                <w:color w:val="1F2328"/>
                <w:sz w:val="18"/>
              </w:rPr>
              <w:t>ISS-SCOPE-2026-Q3</w:t>
            </w:r>
          </w:p>
        </w:tc>
        <w:tc>
          <w:tcPr>
            <w:tcW w:type="dxa" w:w="1765"/>
          </w:tcPr>
          <w:p>
            <w:r/>
            <w:r>
              <w:rPr>
                <w:b w:val="0"/>
                <w:color w:val="1F2328"/>
                <w:sz w:val="18"/>
              </w:rPr>
              <w:t>Complete</w:t>
            </w:r>
          </w:p>
        </w:tc>
      </w:tr>
      <w:tr>
        <w:trPr>
          <w:cantSplit/>
        </w:trPr>
        <w:tc>
          <w:tcPr>
            <w:tcW w:type="dxa" w:w="1864"/>
          </w:tcPr>
          <w:p>
            <w:r/>
            <w:r>
              <w:rPr>
                <w:b w:val="0"/>
                <w:color w:val="1F2328"/>
                <w:sz w:val="18"/>
              </w:rPr>
              <w:t>The freeze that asset inventory, supplier inventory, RAM and the audit plan must cite.</w:t>
            </w:r>
          </w:p>
        </w:tc>
        <w:tc>
          <w:tcPr>
            <w:tcW w:type="dxa" w:w="3723"/>
          </w:tcPr>
          <w:p>
            <w:r/>
            <w:r>
              <w:rPr>
                <w:b w:val="0"/>
                <w:color w:val="1F2328"/>
                <w:sz w:val="18"/>
              </w:rPr>
              <w:t>The live asset or supplier register rows.</w:t>
            </w:r>
          </w:p>
        </w:tc>
        <w:tc>
          <w:tcPr>
            <w:tcW w:type="dxa" w:w="2728"/>
          </w:tcPr>
          <w:p>
            <w:r/>
            <w:r>
              <w:rPr>
                <w:b w:val="0"/>
                <w:color w:val="1F2328"/>
                <w:sz w:val="18"/>
              </w:rPr>
              <w:t>ISS-SCOPE-2026-Q3</w:t>
            </w:r>
          </w:p>
        </w:tc>
        <w:tc>
          <w:tcPr>
            <w:tcW w:type="dxa" w:w="1765"/>
          </w:tcPr>
          <w:p>
            <w:r/>
            <w:r>
              <w:rPr>
                <w:b w:val="0"/>
                <w:color w:val="1F2328"/>
                <w:sz w:val="18"/>
              </w:rPr>
              <w:t>Complete</w:t>
            </w:r>
          </w:p>
        </w:tc>
      </w:tr>
    </w:tbl>
    <w:p>
      <w:pPr>
        <w:spacing w:before="0" w:after="120"/>
      </w:pPr>
    </w:p>
    <w:p>
      <w:pPr>
        <w:pStyle w:val="974"/>
        <w:outlineLvl w:val="1"/>
      </w:pPr>
      <w:bookmarkStart w:id="9" w:name="_TocRAM004"/>
      <w:r>
        <w:t>Terms used here</w:t>
      </w:r>
      <w:bookmarkEnd w:id="9"/>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1576"/>
        <w:gridCol w:w="8504"/>
      </w:tblGrid>
      <w:tr>
        <w:trPr>
          <w:tblHeader/>
          <w:cantSplit/>
        </w:trPr>
        <w:tc>
          <w:tcPr>
            <w:tcW w:type="dxa" w:w="1576"/>
            <w:shd w:fill="F7F9FC"/>
          </w:tcPr>
          <w:p>
            <w:r/>
            <w:r>
              <w:rPr>
                <w:b/>
                <w:color w:val="1F6FEB"/>
                <w:sz w:val="18"/>
              </w:rPr>
              <w:t>Term</w:t>
            </w:r>
          </w:p>
        </w:tc>
        <w:tc>
          <w:tcPr>
            <w:tcW w:type="dxa" w:w="8504"/>
            <w:shd w:fill="F7F9FC"/>
          </w:tcPr>
          <w:p>
            <w:r/>
            <w:r>
              <w:rPr>
                <w:b/>
                <w:color w:val="1F6FEB"/>
                <w:sz w:val="18"/>
              </w:rPr>
              <w:t>Meaning</w:t>
            </w:r>
          </w:p>
        </w:tc>
      </w:tr>
      <w:tr>
        <w:trPr>
          <w:cantSplit/>
        </w:trPr>
        <w:tc>
          <w:tcPr>
            <w:tcW w:type="dxa" w:w="1576"/>
          </w:tcPr>
          <w:p>
            <w:r/>
            <w:r>
              <w:rPr>
                <w:b w:val="0"/>
                <w:color w:val="1F2328"/>
                <w:sz w:val="18"/>
              </w:rPr>
              <w:t>Boundary</w:t>
            </w:r>
          </w:p>
        </w:tc>
        <w:tc>
          <w:tcPr>
            <w:tcW w:type="dxa" w:w="8504"/>
          </w:tcPr>
          <w:p>
            <w:r/>
            <w:r>
              <w:rPr>
                <w:b w:val="0"/>
                <w:color w:val="1F2328"/>
                <w:sz w:val="18"/>
              </w:rPr>
              <w:t>The freeze of people, processes, technology, locations and suppliers inside the ISMS.</w:t>
            </w:r>
          </w:p>
        </w:tc>
      </w:tr>
      <w:tr>
        <w:trPr>
          <w:cantSplit/>
        </w:trPr>
        <w:tc>
          <w:tcPr>
            <w:tcW w:type="dxa" w:w="1576"/>
          </w:tcPr>
          <w:p>
            <w:r/>
            <w:r>
              <w:rPr>
                <w:b w:val="0"/>
                <w:color w:val="1F2328"/>
                <w:sz w:val="18"/>
              </w:rPr>
              <w:t>Exclusion</w:t>
            </w:r>
          </w:p>
        </w:tc>
        <w:tc>
          <w:tcPr>
            <w:tcW w:type="dxa" w:w="8504"/>
          </w:tcPr>
          <w:p>
            <w:r/>
            <w:r>
              <w:rPr>
                <w:b w:val="0"/>
                <w:color w:val="1F2328"/>
                <w:sz w:val="18"/>
              </w:rPr>
              <w:t>Something left outside the ISMS only when it is explicit, justified, approved and reviewable.</w:t>
            </w:r>
          </w:p>
        </w:tc>
      </w:tr>
      <w:tr>
        <w:trPr>
          <w:cantSplit/>
        </w:trPr>
        <w:tc>
          <w:tcPr>
            <w:tcW w:type="dxa" w:w="1576"/>
          </w:tcPr>
          <w:p>
            <w:r/>
            <w:r>
              <w:rPr>
                <w:b w:val="0"/>
                <w:color w:val="1F2328"/>
                <w:sz w:val="18"/>
              </w:rPr>
              <w:t>Interface</w:t>
            </w:r>
          </w:p>
        </w:tc>
        <w:tc>
          <w:tcPr>
            <w:tcW w:type="dxa" w:w="8504"/>
          </w:tcPr>
          <w:p>
            <w:r/>
            <w:r>
              <w:rPr>
                <w:b w:val="0"/>
                <w:color w:val="1F2328"/>
                <w:sz w:val="18"/>
              </w:rPr>
              <w:t>A shared-responsibility hand-off (cloud, identity, CI/CD, support) that can still affect in-scope CIA.</w:t>
            </w:r>
          </w:p>
        </w:tc>
      </w:tr>
    </w:tbl>
    <w:p>
      <w:pPr>
        <w:spacing w:before="0" w:after="120"/>
      </w:pPr>
    </w:p>
    <w:p>
      <w:pPr>
        <w:pStyle w:val="974"/>
        <w:outlineLvl w:val="1"/>
      </w:pPr>
      <w:bookmarkStart w:id="10" w:name="_TocRAM005"/>
      <w:r>
        <w:t>Systems, integrations and data</w:t>
      </w:r>
      <w:bookmarkEnd w:id="10"/>
    </w:p>
    <w:p>
      <w:r>
        <w:rPr>
          <w:b w:val="0"/>
        </w:rPr>
        <w:t>Related inventories live in the companion documents named below. This file cites them by their approved version. It does not copy their content.</w:t>
      </w:r>
    </w:p>
    <w:p>
      <w:pPr>
        <w:pStyle w:val="1006"/>
        <w:ind w:left="360" w:hanging="259"/>
        <w:numPr>
          <w:ilvl w:val="0"/>
          <w:numId w:val="11"/>
        </w:numPr>
      </w:pPr>
      <w:hyperlink r:id="rId16" w:history="1">
        <w:r>
          <w:rPr>
            <w:color w:val="0563C1"/>
            <w:u w:val="single"/>
          </w:rPr>
          <w:t xml:space="preserve">Asset Inventory</w:t>
        </w:r>
      </w:hyperlink>
      <w:r>
        <w:rPr>
          <w:b w:val="0"/>
        </w:rPr>
        <w:t xml:space="preserve"> — In-scope assets with owner, classification, hosting, personal-data flag and related risk.</w:t>
      </w:r>
    </w:p>
    <w:p>
      <w:pPr>
        <w:pStyle w:val="1006"/>
        <w:ind w:left="360" w:hanging="259"/>
        <w:numPr>
          <w:ilvl w:val="0"/>
          <w:numId w:val="11"/>
        </w:numPr>
      </w:pPr>
      <w:hyperlink r:id="rId17" w:history="1">
        <w:r>
          <w:rPr>
            <w:color w:val="0563C1"/>
            <w:u w:val="single"/>
          </w:rPr>
          <w:t xml:space="preserve">Supplier Inventory</w:t>
        </w:r>
      </w:hyperlink>
      <w:r>
        <w:rPr>
          <w:b w:val="0"/>
        </w:rPr>
        <w:t xml:space="preserve"> — Security-relevant suppliers with tier, due diligence, contract controls, subprocessors and exit planning.</w:t>
      </w:r>
    </w:p>
    <w:p>
      <w:pPr>
        <w:pStyle w:val="1006"/>
        <w:ind w:left="360" w:hanging="259"/>
        <w:numPr>
          <w:ilvl w:val="0"/>
          <w:numId w:val="11"/>
        </w:numPr>
      </w:pPr>
      <w:hyperlink r:id="rId18" w:history="1">
        <w:r>
          <w:rPr>
            <w:color w:val="0563C1"/>
            <w:u w:val="single"/>
          </w:rPr>
          <w:t xml:space="preserve">Users and Access Inventory</w:t>
        </w:r>
      </w:hyperlink>
      <w:r>
        <w:rPr>
          <w:b w:val="0"/>
        </w:rPr>
        <w:t xml:space="preserve"> — Users and accounts with access rights, privileged access, MFA (Multi-Factor Authentication) status, reviews and revocations.</w:t>
      </w:r>
    </w:p>
    <w:p>
      <w:pPr>
        <w:pStyle w:val="974"/>
        <w:outlineLvl w:val="1"/>
      </w:pPr>
      <w:bookmarkStart w:id="11" w:name="_TocRAM006"/>
      <w:r>
        <w:t>Scope decision principle</w:t>
      </w:r>
      <w:bookmarkEnd w:id="11"/>
    </w:p>
    <w:p>
      <w:r>
        <w:rPr>
          <w:b w:val="0"/>
        </w:rPr>
        <w:t>Any person, process, system, supplier, location or data flow that can affect production security outcomes, customer-data protection, critical service continuity or ISMS evidence is in scope unless a documented, risk-assessed and approved exclusion exists.</w:t>
      </w:r>
    </w:p>
    <w:p>
      <w:pPr>
        <w:pStyle w:val="974"/>
        <w:outlineLvl w:val="1"/>
      </w:pPr>
      <w:bookmarkStart w:id="12" w:name="_TocRAM007"/>
      <w:r>
        <w:t>Management approval and accountability</w:t>
      </w:r>
      <w:bookmarkEnd w:id="12"/>
    </w:p>
    <w:p>
      <w:r>
        <w:rPr>
          <w:b w:val="0"/>
        </w:rPr>
        <w:t>Top Management approves the ISMS scope and accepts accountability for the resulting audit boundary. The ISMS Manager maintains the statement; the Risk Manager confirms downstream risk impact; supplier owners confirm third-party dependencies.</w:t>
      </w:r>
    </w:p>
    <w:p>
      <w:pPr>
        <w:pStyle w:val="974"/>
        <w:outlineLvl w:val="1"/>
      </w:pPr>
      <w:bookmarkStart w:id="13" w:name="_TocRAM008"/>
      <w:r>
        <w:t>Context inputs</w:t>
      </w:r>
      <w:bookmarkEnd w:id="13"/>
    </w:p>
    <w:p>
      <w:r>
        <w:rPr>
          <w:b w:val="0"/>
        </w:rPr>
        <w:t>Arcfield operates a B2B SaaS platform with cloud-first operations, remote work, enterprise customer security expectations and contractual evidence obligations. These factors bring cloud infrastructure, identity, deployment, monitoring, support, supplier and evidence systems into scope.</w:t>
      </w:r>
    </w:p>
    <w:p>
      <w:pPr>
        <w:pStyle w:val="974"/>
        <w:outlineLvl w:val="1"/>
      </w:pPr>
      <w:bookmarkStart w:id="14" w:name="_TocRAM009"/>
      <w:r>
        <w:t>Interested parties</w:t>
      </w:r>
      <w:bookmarkEnd w:id="14"/>
    </w:p>
    <w:p>
      <w:r>
        <w:rPr>
          <w:b w:val="0"/>
        </w:rPr>
        <w:t>Enterprise customers, Top Management, personnel, suppliers, auditors and regulators influence the scope through evidence, governance, access-control, supplier-assurance and documented-information requirements.</w:t>
      </w:r>
    </w:p>
    <w:p>
      <w:pPr>
        <w:pStyle w:val="974"/>
        <w:outlineLvl w:val="1"/>
      </w:pPr>
      <w:bookmarkStart w:id="15" w:name="_TocRAM010"/>
      <w:r>
        <w:t>ISMS scope statement</w:t>
      </w:r>
      <w:bookmarkEnd w:id="15"/>
    </w:p>
    <w:p>
      <w:r>
        <w:rPr>
          <w:b w:val="0"/>
        </w:rPr>
        <w:t>The ISMS covers the information, people, processes, technologies, suppliers and locations required to design, develop, operate, support, secure, monitor and improve the Arcfield SaaS platform and associated business operations.</w:t>
      </w:r>
    </w:p>
    <w:p>
      <w:r>
        <w:rPr>
          <w:b w:val="0"/>
        </w:rPr>
        <w:t>Included areas include production and non-production environments, identity and access management, repositories, CI/CD (Continuous Integration / Continuous Delivery), infrastructure-as-code, monitoring, logging, backup, recovery, vulnerability management, incident management, support operations, ISMS governance, approved endpoints and critical suppliers. Corporate finance systems are out of scope. In-scope data is customer PII and limited payment metadata; card data is not stored.</w:t>
      </w:r>
    </w:p>
    <w:p>
      <w:pPr>
        <w:pStyle w:val="974"/>
        <w:outlineLvl w:val="1"/>
      </w:pPr>
      <w:bookmarkStart w:id="16" w:name="_TocRAM011"/>
      <w:r>
        <w:t>Exclusions</w:t>
      </w:r>
      <w:bookmarkEnd w:id="16"/>
    </w:p>
    <w:p>
      <w:r>
        <w:rPr>
          <w:b w:val="0"/>
        </w:rPr>
        <w:t>Exclusions must be explicit, justified, approved and periodically reviewed. An exclusion is invalid if it hides a system, process, person or supplier that can affect production security outcomes, customer-data protection, continuity or ISMS evidence. Corporate finance systems are out of scope.</w:t>
      </w:r>
    </w:p>
    <w:p>
      <w:pPr>
        <w:pStyle w:val="974"/>
        <w:outlineLvl w:val="1"/>
      </w:pPr>
      <w:bookmarkStart w:id="17" w:name="_TocRAM012"/>
      <w:r>
        <w:t>Interfaces and dependencies</w:t>
      </w:r>
      <w:bookmarkEnd w:id="17"/>
    </w:p>
    <w:p>
      <w:r>
        <w:rPr>
          <w:b w:val="0"/>
        </w:rPr>
        <w:t>Cloud providers, identity providers, repositories, CI/CD, ticketing, support tooling, monitoring platforms and evidence repositories are boundary interfaces. Interfaces are not footnotes: they define where scope, risk, supplier responsibility and evidence meet.</w:t>
      </w:r>
    </w:p>
    <w:p>
      <w:pPr>
        <w:pStyle w:val="974"/>
        <w:outlineLvl w:val="1"/>
      </w:pPr>
      <w:bookmarkStart w:id="18" w:name="_TocRAM013"/>
      <w:r>
        <w:t>Scope change triggers</w:t>
      </w:r>
      <w:bookmarkEnd w:id="18"/>
    </w:p>
    <w:p>
      <w:r>
        <w:rPr>
          <w:b w:val="0"/>
        </w:rPr>
        <w:t>Review the scope after new products, suppliers, environments, major incidents, audit findings, regulatory changes, acquisitions, outsourcing or new tooling affecting identity, support, deployment, logging or monitoring.</w:t>
      </w:r>
    </w:p>
    <w:p>
      <w:pPr>
        <w:pStyle w:val="974"/>
        <w:outlineLvl w:val="1"/>
      </w:pPr>
      <w:bookmarkStart w:id="19" w:name="_TocRAM014"/>
      <w:r>
        <w:t>Operating evidence sample</w:t>
      </w:r>
      <w:bookmarkEnd w:id="19"/>
    </w:p>
    <w:p>
      <w:r>
        <w:rPr>
          <w:b w:val="0"/>
        </w:rPr>
        <w:t>These records can be retrieved for the 2026-08-29 Arcfield / Arcfield Platform freeze. They are the sample an auditor can re-perform. They are not a second register grid.</w:t>
      </w:r>
    </w:p>
    <w:tbl>
      <w:tblPr>
        <w:tblStyle w:val="1033"/>
        <w:tblW w:type="dxa" w:w="10080"/>
        <w:jc w:val="left"/>
        <w:tblLayout w:type="fixed"/>
        <w:tblLook w:firstColumn="1" w:firstRow="1" w:lastColumn="0" w:lastRow="0" w:noHBand="0" w:noVBand="1" w:val="04A0"/>
      </w:tblPr>
      <w:tblGrid>
        <w:gridCol w:w="1720"/>
        <w:gridCol w:w="5200"/>
        <w:gridCol w:w="3160"/>
      </w:tblGrid>
      <w:tr>
        <w:trPr>
          <w:tblHeader/>
          <w:cantSplit/>
        </w:trPr>
        <w:tc>
          <w:tcPr>
            <w:tcW w:type="dxa" w:w="1720"/>
            <w:shd w:fill="F7F9FC"/>
          </w:tcPr>
          <w:p>
            <w:r/>
            <w:r>
              <w:rPr>
                <w:b/>
                <w:color w:val="1F6FEB"/>
                <w:sz w:val="18"/>
              </w:rPr>
              <w:t>Sample ID</w:t>
            </w:r>
          </w:p>
        </w:tc>
        <w:tc>
          <w:tcPr>
            <w:tcW w:type="dxa" w:w="5200"/>
            <w:shd w:fill="F7F9FC"/>
          </w:tcPr>
          <w:p>
            <w:r/>
            <w:r>
              <w:rPr>
                <w:b/>
                <w:color w:val="1F6FEB"/>
                <w:sz w:val="18"/>
              </w:rPr>
              <w:t>What was sampled</w:t>
            </w:r>
          </w:p>
        </w:tc>
        <w:tc>
          <w:tcPr>
            <w:tcW w:type="dxa" w:w="3160"/>
            <w:shd w:fill="F7F9FC"/>
          </w:tcPr>
          <w:p>
            <w:r/>
            <w:r>
              <w:rPr>
                <w:b/>
                <w:color w:val="1F6FEB"/>
                <w:sz w:val="18"/>
              </w:rPr>
              <w:t>Evidence reference</w:t>
            </w:r>
          </w:p>
        </w:tc>
      </w:tr>
      <w:tr>
        <w:trPr>
          <w:cantSplit/>
        </w:trPr>
        <w:tc>
          <w:tcPr>
            <w:tcW w:type="dxa" w:w="1720"/>
          </w:tcPr>
          <w:p>
            <w:r/>
            <w:r>
              <w:rPr>
                <w:b w:val="0"/>
                <w:color w:val="1F2328"/>
                <w:sz w:val="18"/>
              </w:rPr>
              <w:t>ISS-EV-001</w:t>
            </w:r>
          </w:p>
        </w:tc>
        <w:tc>
          <w:tcPr>
            <w:tcW w:type="dxa" w:w="5200"/>
          </w:tcPr>
          <w:p>
            <w:r/>
            <w:r>
              <w:rPr>
                <w:b w:val="0"/>
                <w:color w:val="1F2328"/>
                <w:sz w:val="18"/>
              </w:rPr>
              <w:t>Approved ISMS boundary freeze (This file (Document Control 1.1))</w:t>
            </w:r>
          </w:p>
        </w:tc>
        <w:tc>
          <w:tcPr>
            <w:tcW w:type="dxa" w:w="3160"/>
          </w:tcPr>
          <w:p>
            <w:r/>
            <w:r>
              <w:rPr>
                <w:b w:val="0"/>
                <w:color w:val="1F2328"/>
                <w:sz w:val="18"/>
              </w:rPr>
              <w:t>ISS-SCOPE-2026-Q3</w:t>
            </w:r>
          </w:p>
        </w:tc>
      </w:tr>
      <w:tr>
        <w:trPr>
          <w:cantSplit/>
        </w:trPr>
        <w:tc>
          <w:tcPr>
            <w:tcW w:type="dxa" w:w="1720"/>
          </w:tcPr>
          <w:p>
            <w:r/>
            <w:r>
              <w:rPr>
                <w:b w:val="0"/>
                <w:color w:val="1F2328"/>
                <w:sz w:val="18"/>
              </w:rPr>
              <w:t>ISS-EV-002</w:t>
            </w:r>
          </w:p>
        </w:tc>
        <w:tc>
          <w:tcPr>
            <w:tcW w:type="dxa" w:w="5200"/>
          </w:tcPr>
          <w:p>
            <w:r/>
            <w:r>
              <w:rPr>
                <w:b w:val="0"/>
                <w:color w:val="1F2328"/>
                <w:sz w:val="18"/>
              </w:rPr>
              <w:t>Exclusion file for supplier-operated layers (SINV / SAS shared-responsibility)</w:t>
            </w:r>
          </w:p>
        </w:tc>
        <w:tc>
          <w:tcPr>
            <w:tcW w:type="dxa" w:w="3160"/>
          </w:tcPr>
          <w:p>
            <w:r/>
            <w:r>
              <w:rPr>
                <w:b w:val="0"/>
                <w:color w:val="1F2328"/>
                <w:sz w:val="18"/>
              </w:rPr>
              <w:t>ISS-EXCL-SUP-2026</w:t>
            </w:r>
          </w:p>
        </w:tc>
      </w:tr>
      <w:tr>
        <w:trPr>
          <w:cantSplit/>
        </w:trPr>
        <w:tc>
          <w:tcPr>
            <w:tcW w:type="dxa" w:w="1720"/>
          </w:tcPr>
          <w:p>
            <w:r/>
            <w:r>
              <w:rPr>
                <w:b w:val="0"/>
                <w:color w:val="1F2328"/>
                <w:sz w:val="18"/>
              </w:rPr>
              <w:t>ISS-EV-003</w:t>
            </w:r>
          </w:p>
        </w:tc>
        <w:tc>
          <w:tcPr>
            <w:tcW w:type="dxa" w:w="5200"/>
          </w:tcPr>
          <w:p>
            <w:r/>
            <w:r>
              <w:rPr>
                <w:b w:val="0"/>
                <w:color w:val="1F2328"/>
                <w:sz w:val="18"/>
              </w:rPr>
              <w:t>Interface list to identity, CI/CD and backup (SAS_Systems_Architecture_Statement.docx)</w:t>
            </w:r>
          </w:p>
        </w:tc>
        <w:tc>
          <w:tcPr>
            <w:tcW w:type="dxa" w:w="3160"/>
          </w:tcPr>
          <w:p>
            <w:r/>
            <w:r>
              <w:rPr>
                <w:b w:val="0"/>
                <w:color w:val="1F2328"/>
                <w:sz w:val="18"/>
              </w:rPr>
              <w:t>SAS-EV-002</w:t>
            </w:r>
          </w:p>
        </w:tc>
      </w:tr>
      <w:tr>
        <w:trPr>
          <w:cantSplit/>
        </w:trPr>
        <w:tc>
          <w:tcPr>
            <w:tcW w:type="dxa" w:w="1720"/>
          </w:tcPr>
          <w:p>
            <w:r/>
            <w:r>
              <w:rPr>
                <w:b w:val="0"/>
                <w:color w:val="1F2328"/>
                <w:sz w:val="18"/>
              </w:rPr>
              <w:t>ISS-EV-004</w:t>
            </w:r>
          </w:p>
        </w:tc>
        <w:tc>
          <w:tcPr>
            <w:tcW w:type="dxa" w:w="5200"/>
          </w:tcPr>
          <w:p>
            <w:r/>
            <w:r>
              <w:rPr>
                <w:b w:val="0"/>
                <w:color w:val="1F2328"/>
                <w:sz w:val="18"/>
              </w:rPr>
              <w:t>Asset inventory coverage of the named boundary (AI_Asset_Inventory.xlsx)</w:t>
            </w:r>
          </w:p>
        </w:tc>
        <w:tc>
          <w:tcPr>
            <w:tcW w:type="dxa" w:w="3160"/>
          </w:tcPr>
          <w:p>
            <w:r/>
            <w:r>
              <w:rPr>
                <w:b w:val="0"/>
                <w:color w:val="1F2328"/>
                <w:sz w:val="18"/>
              </w:rPr>
              <w:t>AI-COMPLETE-2026-Q3</w:t>
            </w:r>
          </w:p>
        </w:tc>
      </w:tr>
      <w:tr>
        <w:trPr>
          <w:cantSplit/>
        </w:trPr>
        <w:tc>
          <w:tcPr>
            <w:tcW w:type="dxa" w:w="1720"/>
          </w:tcPr>
          <w:p>
            <w:r/>
            <w:r>
              <w:rPr>
                <w:b w:val="0"/>
                <w:color w:val="1F2328"/>
                <w:sz w:val="18"/>
              </w:rPr>
              <w:t>ISS-EV-005</w:t>
            </w:r>
          </w:p>
        </w:tc>
        <w:tc>
          <w:tcPr>
            <w:tcW w:type="dxa" w:w="5200"/>
          </w:tcPr>
          <w:p>
            <w:r/>
            <w:r>
              <w:rPr>
                <w:b w:val="0"/>
                <w:color w:val="1F2328"/>
                <w:sz w:val="18"/>
              </w:rPr>
              <w:t>Top Management approval of inclusions and exclusions (DR / Document Control)</w:t>
            </w:r>
          </w:p>
        </w:tc>
        <w:tc>
          <w:tcPr>
            <w:tcW w:type="dxa" w:w="3160"/>
          </w:tcPr>
          <w:p>
            <w:r/>
            <w:r>
              <w:rPr>
                <w:b w:val="0"/>
                <w:color w:val="1F2328"/>
                <w:sz w:val="18"/>
              </w:rPr>
              <w:t>ISS-APPROVAL-2026-09-11</w:t>
            </w:r>
          </w:p>
        </w:tc>
      </w:tr>
    </w:tbl>
    <w:p>
      <w:pPr>
        <w:spacing w:before="0" w:after="120"/>
      </w:pPr>
    </w:p>
    <w:p>
      <w:pPr>
        <w:pStyle w:val="973"/>
        <w:outlineLvl w:val="0"/>
      </w:pPr>
      <w:bookmarkStart w:id="20" w:name="_TocRAM015"/>
      <w:bookmarkStart w:id="3" w:name="ref_exclusion_approval_matrix"/>
      <w:r>
        <w:t>Exclusion approval matrix</w:t>
      </w:r>
      <w:bookmarkEnd w:id="3"/>
      <w:bookmarkEnd w:id="20"/>
    </w:p>
    <w:tbl>
      <w:tblPr>
        <w:tblStyle w:val="1033"/>
        <w:tblW w:type="dxa" w:w="10078"/>
        <w:jc w:val="left"/>
        <w:tblLayout w:type="fixed"/>
        <w:tblLook w:firstColumn="1" w:firstRow="1" w:lastColumn="0" w:lastRow="0" w:noHBand="0" w:noVBand="1" w:val="04A0"/>
      </w:tblPr>
      <w:tblGrid>
        <w:gridCol w:w="1996"/>
        <w:gridCol w:w="1258"/>
        <w:gridCol w:w="2312"/>
        <w:gridCol w:w="1469"/>
        <w:gridCol w:w="1996"/>
        <w:gridCol w:w="1047"/>
      </w:tblGrid>
      <w:tr>
        <w:trPr>
          <w:tblHeader/>
          <w:cantSplit/>
        </w:trPr>
        <w:tc>
          <w:tcPr>
            <w:tcW w:type="dxa" w:w="1996"/>
            <w:shd w:fill="F7F9FC"/>
          </w:tcPr>
          <w:p>
            <w:r/>
            <w:r>
              <w:rPr>
                <w:b/>
                <w:color w:val="1F6FEB"/>
                <w:sz w:val="18"/>
              </w:rPr>
              <w:t>Exclusion type</w:t>
            </w:r>
          </w:p>
        </w:tc>
        <w:tc>
          <w:tcPr>
            <w:tcW w:type="dxa" w:w="1258"/>
            <w:shd w:fill="F7F9FC"/>
          </w:tcPr>
          <w:p>
            <w:r/>
            <w:r>
              <w:rPr>
                <w:b/>
                <w:color w:val="1F6FEB"/>
                <w:sz w:val="18"/>
              </w:rPr>
              <w:t>Required approval</w:t>
            </w:r>
          </w:p>
        </w:tc>
        <w:tc>
          <w:tcPr>
            <w:tcW w:type="dxa" w:w="2312"/>
            <w:shd w:fill="F7F9FC"/>
          </w:tcPr>
          <w:p>
            <w:r/>
            <w:r>
              <w:rPr>
                <w:b/>
                <w:color w:val="1F6FEB"/>
                <w:sz w:val="18"/>
              </w:rPr>
              <w:t>Required evidence</w:t>
            </w:r>
          </w:p>
        </w:tc>
        <w:tc>
          <w:tcPr>
            <w:tcW w:type="dxa" w:w="1469"/>
            <w:shd w:fill="F7F9FC"/>
          </w:tcPr>
          <w:p>
            <w:r/>
            <w:r>
              <w:rPr>
                <w:b/>
                <w:color w:val="1F6FEB"/>
                <w:sz w:val="18"/>
              </w:rPr>
              <w:t>Review rule</w:t>
            </w:r>
          </w:p>
        </w:tc>
        <w:tc>
          <w:tcPr>
            <w:tcW w:type="dxa" w:w="1996"/>
            <w:shd w:fill="F7F9FC"/>
          </w:tcPr>
          <w:p>
            <w:r/>
            <w:r>
              <w:rPr>
                <w:b/>
                <w:color w:val="1F6FEB"/>
                <w:sz w:val="18"/>
              </w:rPr>
              <w:t>Evidence reference</w:t>
            </w:r>
          </w:p>
        </w:tc>
        <w:tc>
          <w:tcPr>
            <w:tcW w:type="dxa" w:w="1047"/>
            <w:shd w:fill="F7F9FC"/>
          </w:tcPr>
          <w:p>
            <w:r/>
            <w:r>
              <w:rPr>
                <w:b/>
                <w:color w:val="1F6FEB"/>
                <w:sz w:val="18"/>
              </w:rPr>
              <w:t>Evidence status</w:t>
            </w:r>
          </w:p>
        </w:tc>
      </w:tr>
      <w:tr>
        <w:trPr>
          <w:cantSplit/>
        </w:trPr>
        <w:tc>
          <w:tcPr>
            <w:tcW w:type="dxa" w:w="1996"/>
          </w:tcPr>
          <w:p>
            <w:r/>
            <w:r>
              <w:rPr>
                <w:b w:val="0"/>
                <w:color w:val="1F2328"/>
                <w:sz w:val="18"/>
              </w:rPr>
              <w:t>No customer data and no production trust path</w:t>
            </w:r>
          </w:p>
        </w:tc>
        <w:tc>
          <w:tcPr>
            <w:tcW w:type="dxa" w:w="1258"/>
          </w:tcPr>
          <w:p>
            <w:r/>
            <w:r>
              <w:rPr>
                <w:b w:val="0"/>
                <w:color w:val="1F2328"/>
                <w:sz w:val="18"/>
              </w:rPr>
              <w:t>ISMS Manager</w:t>
            </w:r>
          </w:p>
        </w:tc>
        <w:tc>
          <w:tcPr>
            <w:tcW w:type="dxa" w:w="2312"/>
          </w:tcPr>
          <w:p>
            <w:r/>
            <w:r>
              <w:rPr>
                <w:b w:val="0"/>
                <w:color w:val="1F2328"/>
                <w:sz w:val="18"/>
              </w:rPr>
              <w:t>Data-flow and trust-path verification</w:t>
            </w:r>
          </w:p>
        </w:tc>
        <w:tc>
          <w:tcPr>
            <w:tcW w:type="dxa" w:w="1469"/>
          </w:tcPr>
          <w:p>
            <w:r/>
            <w:r>
              <w:rPr>
                <w:b w:val="0"/>
                <w:color w:val="1F2328"/>
                <w:sz w:val="18"/>
              </w:rPr>
              <w:t>Annual and after architecture change</w:t>
            </w:r>
          </w:p>
        </w:tc>
        <w:tc>
          <w:tcPr>
            <w:tcW w:type="dxa" w:w="1996"/>
          </w:tcPr>
          <w:p>
            <w:r/>
            <w:r>
              <w:rPr>
                <w:b w:val="0"/>
                <w:color w:val="1F2328"/>
                <w:sz w:val="18"/>
              </w:rPr>
              <w:t>ISS-SCOPE-2026-Q3</w:t>
            </w:r>
          </w:p>
        </w:tc>
        <w:tc>
          <w:tcPr>
            <w:tcW w:type="dxa" w:w="1047"/>
          </w:tcPr>
          <w:p>
            <w:r/>
            <w:r>
              <w:rPr>
                <w:b w:val="0"/>
                <w:color w:val="1F2328"/>
                <w:sz w:val="18"/>
              </w:rPr>
              <w:t>Complete</w:t>
            </w:r>
          </w:p>
        </w:tc>
      </w:tr>
      <w:tr>
        <w:trPr>
          <w:cantSplit/>
        </w:trPr>
        <w:tc>
          <w:tcPr>
            <w:tcW w:type="dxa" w:w="1996"/>
          </w:tcPr>
          <w:p>
            <w:r/>
            <w:r>
              <w:rPr>
                <w:b w:val="0"/>
                <w:color w:val="1F2328"/>
                <w:sz w:val="18"/>
              </w:rPr>
              <w:t>Supplier-operated infrastructure layer</w:t>
            </w:r>
          </w:p>
        </w:tc>
        <w:tc>
          <w:tcPr>
            <w:tcW w:type="dxa" w:w="1258"/>
          </w:tcPr>
          <w:p>
            <w:r/>
            <w:r>
              <w:rPr>
                <w:b w:val="0"/>
                <w:color w:val="1F2328"/>
                <w:sz w:val="18"/>
              </w:rPr>
              <w:t>Supplier Manager and Risk Manager</w:t>
            </w:r>
          </w:p>
        </w:tc>
        <w:tc>
          <w:tcPr>
            <w:tcW w:type="dxa" w:w="2312"/>
          </w:tcPr>
          <w:p>
            <w:r/>
            <w:r>
              <w:rPr>
                <w:b w:val="0"/>
                <w:color w:val="1F2328"/>
                <w:sz w:val="18"/>
              </w:rPr>
              <w:t>Shared-responsibility review and supplier assurance</w:t>
            </w:r>
          </w:p>
        </w:tc>
        <w:tc>
          <w:tcPr>
            <w:tcW w:type="dxa" w:w="1469"/>
          </w:tcPr>
          <w:p>
            <w:r/>
            <w:r>
              <w:rPr>
                <w:b w:val="0"/>
                <w:color w:val="1F2328"/>
                <w:sz w:val="18"/>
              </w:rPr>
              <w:t>At supplier review cadence</w:t>
            </w:r>
          </w:p>
        </w:tc>
        <w:tc>
          <w:tcPr>
            <w:tcW w:type="dxa" w:w="1996"/>
          </w:tcPr>
          <w:p>
            <w:r/>
            <w:r>
              <w:rPr>
                <w:b w:val="0"/>
                <w:color w:val="1F2328"/>
                <w:sz w:val="18"/>
              </w:rPr>
              <w:t>ISS-SCOPE-2026-Q3</w:t>
            </w:r>
          </w:p>
        </w:tc>
        <w:tc>
          <w:tcPr>
            <w:tcW w:type="dxa" w:w="1047"/>
          </w:tcPr>
          <w:p>
            <w:r/>
            <w:r>
              <w:rPr>
                <w:b w:val="0"/>
                <w:color w:val="1F2328"/>
                <w:sz w:val="18"/>
              </w:rPr>
              <w:t>Complete</w:t>
            </w:r>
          </w:p>
        </w:tc>
      </w:tr>
      <w:tr>
        <w:trPr>
          <w:cantSplit/>
        </w:trPr>
        <w:tc>
          <w:tcPr>
            <w:tcW w:type="dxa" w:w="1996"/>
          </w:tcPr>
          <w:p>
            <w:r/>
            <w:r>
              <w:rPr>
                <w:b w:val="0"/>
                <w:color w:val="1F2328"/>
                <w:sz w:val="18"/>
              </w:rPr>
              <w:t>Physical location with no in-scope work</w:t>
            </w:r>
          </w:p>
        </w:tc>
        <w:tc>
          <w:tcPr>
            <w:tcW w:type="dxa" w:w="1258"/>
          </w:tcPr>
          <w:p>
            <w:r/>
            <w:r>
              <w:rPr>
                <w:b w:val="0"/>
                <w:color w:val="1F2328"/>
                <w:sz w:val="18"/>
              </w:rPr>
              <w:t>ISMS Manager and Office Manager</w:t>
            </w:r>
          </w:p>
        </w:tc>
        <w:tc>
          <w:tcPr>
            <w:tcW w:type="dxa" w:w="2312"/>
          </w:tcPr>
          <w:p>
            <w:r/>
            <w:r>
              <w:rPr>
                <w:b w:val="0"/>
                <w:color w:val="1F2328"/>
                <w:sz w:val="18"/>
              </w:rPr>
              <w:t>Location-use confirmation</w:t>
            </w:r>
          </w:p>
        </w:tc>
        <w:tc>
          <w:tcPr>
            <w:tcW w:type="dxa" w:w="1469"/>
          </w:tcPr>
          <w:p>
            <w:r/>
            <w:r>
              <w:rPr>
                <w:b w:val="0"/>
                <w:color w:val="1F2328"/>
                <w:sz w:val="18"/>
              </w:rPr>
              <w:t>Annual and after workforce change</w:t>
            </w:r>
          </w:p>
        </w:tc>
        <w:tc>
          <w:tcPr>
            <w:tcW w:type="dxa" w:w="1996"/>
          </w:tcPr>
          <w:p>
            <w:r/>
            <w:r>
              <w:rPr>
                <w:b w:val="0"/>
                <w:color w:val="1F2328"/>
                <w:sz w:val="18"/>
              </w:rPr>
              <w:t>ISS-SCOPE-2026-Q3</w:t>
            </w:r>
          </w:p>
        </w:tc>
        <w:tc>
          <w:tcPr>
            <w:tcW w:type="dxa" w:w="1047"/>
          </w:tcPr>
          <w:p>
            <w:r/>
            <w:r>
              <w:rPr>
                <w:b w:val="0"/>
                <w:color w:val="1F2328"/>
                <w:sz w:val="18"/>
              </w:rPr>
              <w:t>Complete</w:t>
            </w:r>
          </w:p>
        </w:tc>
      </w:tr>
      <w:tr>
        <w:trPr>
          <w:cantSplit/>
        </w:trPr>
        <w:tc>
          <w:tcPr>
            <w:tcW w:type="dxa" w:w="1996"/>
          </w:tcPr>
          <w:p>
            <w:r/>
            <w:r>
              <w:rPr>
                <w:b w:val="0"/>
                <w:color w:val="1F2328"/>
                <w:sz w:val="18"/>
              </w:rPr>
              <w:t>Potential customer or regulatory impact</w:t>
            </w:r>
          </w:p>
        </w:tc>
        <w:tc>
          <w:tcPr>
            <w:tcW w:type="dxa" w:w="1258"/>
          </w:tcPr>
          <w:p>
            <w:r/>
            <w:r>
              <w:rPr>
                <w:b w:val="0"/>
                <w:color w:val="1F2328"/>
                <w:sz w:val="18"/>
              </w:rPr>
              <w:t>Top Management and Legal or Privacy Lead</w:t>
            </w:r>
          </w:p>
        </w:tc>
        <w:tc>
          <w:tcPr>
            <w:tcW w:type="dxa" w:w="2312"/>
          </w:tcPr>
          <w:p>
            <w:r/>
            <w:r>
              <w:rPr>
                <w:b w:val="0"/>
                <w:color w:val="1F2328"/>
                <w:sz w:val="18"/>
              </w:rPr>
              <w:t>Impact assessment and risk decision</w:t>
            </w:r>
          </w:p>
        </w:tc>
        <w:tc>
          <w:tcPr>
            <w:tcW w:type="dxa" w:w="1469"/>
          </w:tcPr>
          <w:p>
            <w:r/>
            <w:r>
              <w:rPr>
                <w:b w:val="0"/>
                <w:color w:val="1F2328"/>
                <w:sz w:val="18"/>
              </w:rPr>
              <w:t>Before exclusion and after material change</w:t>
            </w:r>
          </w:p>
        </w:tc>
        <w:tc>
          <w:tcPr>
            <w:tcW w:type="dxa" w:w="1996"/>
          </w:tcPr>
          <w:p>
            <w:r/>
            <w:r>
              <w:rPr>
                <w:b w:val="0"/>
                <w:color w:val="1F2328"/>
                <w:sz w:val="18"/>
              </w:rPr>
              <w:t>ISS-SCOPE-2026-Q3</w:t>
            </w:r>
          </w:p>
        </w:tc>
        <w:tc>
          <w:tcPr>
            <w:tcW w:type="dxa" w:w="1047"/>
          </w:tcPr>
          <w:p>
            <w:r/>
            <w:r>
              <w:rPr>
                <w:b w:val="0"/>
                <w:color w:val="1F2328"/>
                <w:sz w:val="18"/>
              </w:rPr>
              <w:t>Complete</w:t>
            </w:r>
          </w:p>
        </w:tc>
      </w:tr>
    </w:tbl>
    <w:p>
      <w:pPr>
        <w:spacing w:before="0" w:after="120"/>
      </w:pPr>
    </w:p>
    <w:p>
      <w:pPr>
        <w:pStyle w:val="973"/>
        <w:outlineLvl w:val="0"/>
      </w:pPr>
      <w:bookmarkStart w:id="21" w:name="_TocRAM016"/>
      <w:bookmarkStart w:id="4" w:name="ref_evidence_and_records"/>
      <w:r>
        <w:t>Evidence and records</w:t>
      </w:r>
      <w:bookmarkEnd w:id="4"/>
      <w:bookmarkEnd w:id="21"/>
    </w:p>
    <w:p>
      <w:r>
        <w:rPr>
          <w:b w:val="0"/>
        </w:rPr>
        <w:t>Related records live in the companion documents named below. This file cites them by their approved version. It does not copy their content. The Owner named on the cover is accountable for those live records.</w:t>
      </w:r>
    </w:p>
    <w:p>
      <w:pPr>
        <w:pStyle w:val="1006"/>
        <w:ind w:left="360" w:hanging="259"/>
        <w:numPr>
          <w:ilvl w:val="0"/>
          <w:numId w:val="12"/>
        </w:numPr>
      </w:pPr>
      <w:hyperlink r:id="rId19"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20"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21" w:history="1">
        <w:r>
          <w:rPr>
            <w:color w:val="0563C1"/>
            <w:u w:val="single"/>
          </w:rPr>
          <w:t xml:space="preserve">Records Retention Schedule</w:t>
        </w:r>
      </w:hyperlink>
      <w:r>
        <w:rPr>
          <w:b w:val="0"/>
        </w:rPr>
        <w:t xml:space="preserve"> — Retention rules for ISMS, security, privacy, audit and operational records, with owner, period, disposal method and evidence.</w:t>
      </w:r>
    </w:p>
    <w:p>
      <w:pPr>
        <w:pStyle w:val="973"/>
        <w:outlineLvl w:val="0"/>
      </w:pPr>
      <w:bookmarkStart w:id="22" w:name="_TocRAM017"/>
      <w:bookmarkStart w:id="5" w:name="ref_external_references"/>
      <w:r>
        <w:t>References</w:t>
      </w:r>
      <w:bookmarkEnd w:id="5"/>
      <w:bookmarkEnd w:id="22"/>
    </w:p>
    <w:p>
      <w:pPr>
        <w:pStyle w:val="974"/>
        <w:outlineLvl w:val="1"/>
      </w:pPr>
      <w:bookmarkStart w:id="23" w:name="_TocRAM018"/>
      <w:r>
        <w:t>Linked documents</w:t>
      </w:r>
      <w:bookmarkEnd w:id="23"/>
    </w:p>
    <w:p>
      <w:r>
        <w:rPr>
          <w:b w:val="0"/>
        </w:rPr>
        <w:t>These companion files sit next to this document in the unpacked package. This file cites them by their approved version. It does not copy their content.</w:t>
      </w:r>
    </w:p>
    <w:p>
      <w:pPr>
        <w:pStyle w:val="1006"/>
        <w:ind w:left="360" w:hanging="259"/>
        <w:numPr>
          <w:ilvl w:val="0"/>
          <w:numId w:val="13"/>
        </w:numPr>
      </w:pPr>
      <w:hyperlink r:id="rId19"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3"/>
        </w:numPr>
      </w:pPr>
      <w:hyperlink r:id="rId20" w:history="1">
        <w:r>
          <w:rPr>
            <w:color w:val="0563C1"/>
            <w:u w:val="single"/>
          </w:rPr>
          <w:t xml:space="preserve">DR Document Register</w:t>
        </w:r>
      </w:hyperlink>
      <w:r>
        <w:rPr>
          <w:b w:val="0"/>
        </w:rPr>
        <w:t xml:space="preserve"> — Controlled documented information: origin, owner, approver, version, review cycle, retention and location.</w:t>
      </w:r>
    </w:p>
    <w:p>
      <w:pPr>
        <w:pStyle w:val="1006"/>
        <w:ind w:left="360" w:hanging="259"/>
        <w:numPr>
          <w:ilvl w:val="0"/>
          <w:numId w:val="13"/>
        </w:numPr>
      </w:pPr>
      <w:hyperlink r:id="rId21" w:history="1">
        <w:r>
          <w:rPr>
            <w:color w:val="0563C1"/>
            <w:u w:val="single"/>
          </w:rPr>
          <w:t xml:space="preserve">RRS Records Retention Schedule</w:t>
        </w:r>
      </w:hyperlink>
      <w:r>
        <w:rPr>
          <w:b w:val="0"/>
        </w:rPr>
        <w:t xml:space="preserve"> — Retention rules for ISMS, security, privacy, audit and operational records, with owner, period, disposal method and evidence.</w:t>
      </w:r>
    </w:p>
    <w:p>
      <w:pPr>
        <w:pStyle w:val="1006"/>
        <w:ind w:left="360" w:hanging="259"/>
        <w:numPr>
          <w:ilvl w:val="0"/>
          <w:numId w:val="13"/>
        </w:numPr>
      </w:pPr>
      <w:hyperlink r:id="rId16" w:history="1">
        <w:r>
          <w:rPr>
            <w:color w:val="0563C1"/>
            <w:u w:val="single"/>
          </w:rPr>
          <w:t xml:space="preserve">AI Asset Inventory</w:t>
        </w:r>
      </w:hyperlink>
      <w:r>
        <w:rPr>
          <w:b w:val="0"/>
        </w:rPr>
        <w:t xml:space="preserve"> — In-scope assets with owner, classification, hosting, personal-data flag and related risk.</w:t>
      </w:r>
    </w:p>
    <w:p>
      <w:pPr>
        <w:pStyle w:val="1006"/>
        <w:ind w:left="360" w:hanging="259"/>
        <w:numPr>
          <w:ilvl w:val="0"/>
          <w:numId w:val="13"/>
        </w:numPr>
      </w:pPr>
      <w:hyperlink r:id="rId17" w:history="1">
        <w:r>
          <w:rPr>
            <w:color w:val="0563C1"/>
            <w:u w:val="single"/>
          </w:rPr>
          <w:t xml:space="preserve">SINV Supplier Inventory</w:t>
        </w:r>
      </w:hyperlink>
      <w:r>
        <w:rPr>
          <w:b w:val="0"/>
        </w:rPr>
        <w:t xml:space="preserve"> — Security-relevant suppliers with tier, due diligence, contract controls, subprocessors and exit planning.</w:t>
      </w:r>
    </w:p>
    <w:p>
      <w:pPr>
        <w:pStyle w:val="1006"/>
        <w:ind w:left="360" w:hanging="259"/>
        <w:numPr>
          <w:ilvl w:val="0"/>
          <w:numId w:val="13"/>
        </w:numPr>
      </w:pPr>
      <w:hyperlink r:id="rId18" w:history="1">
        <w:r>
          <w:rPr>
            <w:color w:val="0563C1"/>
            <w:u w:val="single"/>
          </w:rPr>
          <w:t xml:space="preserve">UAI Users and Access Inventory</w:t>
        </w:r>
      </w:hyperlink>
      <w:r>
        <w:rPr>
          <w:b w:val="0"/>
        </w:rPr>
        <w:t xml:space="preserve"> — Users and accounts with access rights, privileged access, MFA status, reviews and revocations.</w:t>
      </w:r>
    </w:p>
    <w:p>
      <w:pPr>
        <w:pStyle w:val="1006"/>
        <w:ind w:left="360" w:hanging="259"/>
        <w:numPr>
          <w:ilvl w:val="0"/>
          <w:numId w:val="13"/>
        </w:numPr>
      </w:pPr>
      <w:hyperlink r:id="rId22" w:history="1">
        <w:r>
          <w:rPr>
            <w:color w:val="0563C1"/>
            <w:u w:val="single"/>
          </w:rPr>
          <w:t xml:space="preserve">CR (Change Request) Context Register (Building the ISMS, Context of the Organization (Clause 4))</w:t>
        </w:r>
      </w:hyperlink>
      <w:r>
        <w:rPr>
          <w:b w:val="0"/>
        </w:rPr>
        <w:t xml:space="preserve"> — Interface record. Cite this Document Control version; do not copy this file into that record.</w:t>
      </w:r>
    </w:p>
    <w:p>
      <w:pPr>
        <w:pStyle w:val="1006"/>
        <w:ind w:left="360" w:hanging="259"/>
        <w:numPr>
          <w:ilvl w:val="0"/>
          <w:numId w:val="13"/>
        </w:numPr>
      </w:pPr>
      <w:hyperlink r:id="rId23" w:history="1">
        <w:r>
          <w:rPr>
            <w:color w:val="0563C1"/>
            <w:u w:val="single"/>
          </w:rPr>
          <w:t xml:space="preserve">IMPL-WB ISMS Implementation Workbook (Implementation &amp; Certification, Implementation Readiness &amp; Planning)</w:t>
        </w:r>
      </w:hyperlink>
      <w:r>
        <w:rPr>
          <w:b w:val="0"/>
        </w:rPr>
        <w:t xml:space="preserve"> — Interface record. Cite this Document Control version; do not copy this file into that record.</w:t>
      </w:r>
    </w:p>
    <w:p>
      <w:pPr>
        <w:pStyle w:val="974"/>
        <w:outlineLvl w:val="1"/>
      </w:pPr>
      <w:bookmarkStart w:id="24" w:name="_TocRAM019"/>
      <w:r>
        <w:t>External references</w:t>
      </w:r>
      <w:bookmarkEnd w:id="24"/>
    </w:p>
    <w:p>
      <w:r>
        <w:rPr>
          <w:b w:val="0"/>
        </w:rPr>
        <w:t>Cite these ISO clauses and book chapters from workshops and audits.</w:t>
      </w:r>
    </w:p>
    <w:p>
      <w:pPr>
        <w:pStyle w:val="1006"/>
        <w:ind w:left="360" w:hanging="259"/>
        <w:numPr>
          <w:ilvl w:val="0"/>
          <w:numId w:val="14"/>
        </w:numPr>
      </w:pPr>
      <w:hyperlink r:id="rId24"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4"/>
        </w:numPr>
      </w:pPr>
      <w:hyperlink r:id="rId25" w:history="1">
        <w:r>
          <w:rPr>
            <w:color w:val="0563C1"/>
            <w:u w:val="single"/>
          </w:rPr>
          <w:t xml:space="preserve">Building the ISMS, Context of the Organization (Clause 4)</w:t>
        </w:r>
      </w:hyperlink>
      <w:r>
        <w:rPr>
          <w:b w:val="0"/>
        </w:rPr>
        <w:t xml:space="preserve"> — Primary operating chapter for this companion artifact.</w:t>
      </w:r>
    </w:p>
    <w:p>
      <w:pPr>
        <w:pStyle w:val="1006"/>
        <w:ind w:left="360" w:hanging="259"/>
        <w:numPr>
          <w:ilvl w:val="0"/>
          <w:numId w:val="14"/>
        </w:numPr>
      </w:pPr>
      <w:hyperlink r:id="rId25" w:history="1">
        <w:r>
          <w:rPr>
            <w:color w:val="0563C1"/>
            <w:u w:val="single"/>
          </w:rPr>
          <w:t xml:space="preserve">Building the ISMS, Context of the Organization (Clause 4)</w:t>
        </w:r>
      </w:hyperlink>
      <w:r>
        <w:rPr>
          <w:b w:val="0"/>
        </w:rPr>
        <w:t xml:space="preserve"> — Context, interested parties and scope.</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ISMS Scope Statement (ISS)</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AI_Asset_Inventory.xlsx" TargetMode="External"/><Relationship Id="rId17" Type="http://schemas.openxmlformats.org/officeDocument/2006/relationships/hyperlink" Target="SINV_Supplier_Inventory.xlsx" TargetMode="External"/><Relationship Id="rId18" Type="http://schemas.openxmlformats.org/officeDocument/2006/relationships/hyperlink" Target="UAI_Users_and_Access_Inventory.xlsx" TargetMode="External"/><Relationship Id="rId19" Type="http://schemas.openxmlformats.org/officeDocument/2006/relationships/hyperlink" Target="MDR_Mandatory_Documents_and_Records_Register.xlsx" TargetMode="External"/><Relationship Id="rId20" Type="http://schemas.openxmlformats.org/officeDocument/2006/relationships/hyperlink" Target="DR_Document_Register.xlsx" TargetMode="External"/><Relationship Id="rId21" Type="http://schemas.openxmlformats.org/officeDocument/2006/relationships/hyperlink" Target="RRS_Records_Retention_Schedule_Register.xlsx" TargetMode="External"/><Relationship Id="rId22" Type="http://schemas.openxmlformats.org/officeDocument/2006/relationships/hyperlink" Target="CR_Context_Register.xlsx" TargetMode="External"/><Relationship Id="rId23" Type="http://schemas.openxmlformats.org/officeDocument/2006/relationships/hyperlink" Target="IMPL-WB_ISMS_Implementation_Workbook_Dashboard.xlsx" TargetMode="External"/><Relationship Id="rId24" Type="http://schemas.openxmlformats.org/officeDocument/2006/relationships/hyperlink" Target="https://www.iso.org/standard/82875.html" TargetMode="External"/><Relationship Id="rId25"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ISMS Scope Statement</dc:title>
  <dc:subject>Official ExportableProof Companion Artifact ISS</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Statement</cp:category>
</cp:coreProperties>
</file>