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Internal Audit Plan</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defines a risk-based internal audit plan for Arcfield. It documents audit programme linkage, objectives, criteria, scope, independence, sampling, schedule, reporting and corrective-action follow-up before fieldwork begins. This plan is the live Arcfield Platform programme in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Internal Auditor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Audit plan</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plan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Audit programme linkage</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Audit objectives</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Audit scope</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Audit criteria</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Auditor independence</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Risk-based sampling</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Audit schedule</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Audit method</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Reporting and follow-up</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Operating evidence sample</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Independence and sampling model</w:t>
            </w:r>
            <w:r>
              <w:tab/>
            </w:r>
            <w:r>
              <w:fldChar w:fldCharType="begin"/>
              <w:instrText xml:space="preserve"> PAGEREF _TocRAM015 \h </w:instrText>
              <w:fldChar w:fldCharType="separate"/>
              <w:t xml:space="preserve"> </w:t>
              <w:fldChar w:fldCharType="end"/>
            </w:r>
          </w:hyperlink>
        </w:p>
        <w:p>
          <w:pPr>
            <w:pStyle w:val="957"/>
            <w:tabs>
              <w:tab w:val="right" w:leader="dot" w:pos="10080"/>
            </w:tabs>
          </w:pPr>
          <w:hyperlink w:anchor="_TocRAM016" w:history="1">
            <w:r>
              <w:rPr>
                <w:rStyle w:val="955"/>
              </w:rPr>
              <w:t xml:space="preserve">Evidence and records</w:t>
            </w:r>
            <w:r>
              <w:tab/>
            </w:r>
            <w:r>
              <w:fldChar w:fldCharType="begin"/>
              <w:instrText xml:space="preserve"> PAGEREF _TocRAM016 \h </w:instrText>
              <w:fldChar w:fldCharType="separate"/>
              <w:t xml:space="preserve"> </w:t>
              <w:fldChar w:fldCharType="end"/>
            </w:r>
          </w:hyperlink>
        </w:p>
        <w:p>
          <w:pPr>
            <w:pStyle w:val="957"/>
            <w:tabs>
              <w:tab w:val="right" w:leader="dot" w:pos="10080"/>
            </w:tabs>
          </w:pPr>
          <w:hyperlink w:anchor="_TocRAM017" w:history="1">
            <w:r>
              <w:rPr>
                <w:rStyle w:val="955"/>
              </w:rPr>
              <w:t xml:space="preserve">References</w:t>
            </w:r>
            <w:r>
              <w:tab/>
            </w:r>
            <w:r>
              <w:fldChar w:fldCharType="begin"/>
              <w:instrText xml:space="preserve"> PAGEREF _TocRAM017 \h </w:instrText>
              <w:fldChar w:fldCharType="separate"/>
              <w:t xml:space="preserve"> </w:t>
              <w:fldChar w:fldCharType="end"/>
            </w:r>
          </w:hyperlink>
        </w:p>
        <w:p>
          <w:pPr>
            <w:pStyle w:val="958"/>
            <w:tabs>
              <w:tab w:val="right" w:leader="dot" w:pos="10080"/>
            </w:tabs>
          </w:pPr>
          <w:hyperlink w:anchor="_TocRAM018" w:history="1">
            <w:r>
              <w:rPr>
                <w:rStyle w:val="955"/>
              </w:rPr>
              <w:t xml:space="preserve">Linked documents</w:t>
            </w:r>
            <w:r>
              <w:tab/>
            </w:r>
            <w:r>
              <w:fldChar w:fldCharType="begin"/>
              <w:instrText xml:space="preserve"> PAGEREF _TocRAM018 \h </w:instrText>
              <w:fldChar w:fldCharType="separate"/>
              <w:t xml:space="preserve"> </w:t>
              <w:fldChar w:fldCharType="end"/>
            </w:r>
          </w:hyperlink>
        </w:p>
        <w:p>
          <w:pPr>
            <w:pStyle w:val="958"/>
            <w:tabs>
              <w:tab w:val="right" w:leader="dot" w:pos="10080"/>
            </w:tabs>
          </w:pPr>
          <w:hyperlink w:anchor="_TocRAM019" w:history="1">
            <w:r>
              <w:rPr>
                <w:rStyle w:val="955"/>
              </w:rPr>
              <w:t xml:space="preserve">Linked templates</w:t>
            </w:r>
            <w:r>
              <w:tab/>
            </w:r>
            <w:r>
              <w:fldChar w:fldCharType="begin"/>
              <w:instrText xml:space="preserve"> PAGEREF _TocRAM019 \h </w:instrText>
              <w:fldChar w:fldCharType="separate"/>
              <w:t xml:space="preserve"> </w:t>
              <w:fldChar w:fldCharType="end"/>
            </w:r>
          </w:hyperlink>
        </w:p>
        <w:p>
          <w:pPr>
            <w:pStyle w:val="958"/>
            <w:tabs>
              <w:tab w:val="right" w:leader="dot" w:pos="10080"/>
            </w:tabs>
          </w:pPr>
          <w:hyperlink w:anchor="_TocRAM020" w:history="1">
            <w:r>
              <w:rPr>
                <w:rStyle w:val="955"/>
              </w:rPr>
              <w:t xml:space="preserve">External references</w:t>
            </w:r>
            <w:r>
              <w:tab/>
            </w:r>
            <w:r>
              <w:fldChar w:fldCharType="begin"/>
              <w:instrText xml:space="preserve"> PAGEREF _TocRAM020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Plan scope, criteria, independence and sampling before interviews start; otherwise the audit trail looks improvised.</w:t>
              <w:br/>
              <w:br/>
              <w:t>Book reference: Implementation &amp; Certification, Internal Audit &amp; Management Review</w:t>
            </w:r>
          </w:p>
        </w:tc>
      </w:tr>
    </w:tbl>
    <w:p>
      <w:r>
        <w:br w:type="page"/>
      </w:r>
    </w:p>
    <w:p>
      <w:pPr>
        <w:pStyle w:val="973"/>
        <w:outlineLvl w:val="0"/>
      </w:pPr>
      <w:bookmarkStart w:id="6" w:name="_TocRAM001"/>
      <w:bookmarkStart w:id="2" w:name="ref_audit_plan_content"/>
      <w:r>
        <w:t>Audit plan</w:t>
      </w:r>
      <w:bookmarkEnd w:id="2"/>
      <w:bookmarkEnd w:id="6"/>
    </w:p>
    <w:p>
      <w:pPr>
        <w:pStyle w:val="974"/>
        <w:outlineLvl w:val="1"/>
      </w:pPr>
      <w:bookmarkStart w:id="7" w:name="_TocRAM002"/>
      <w:r>
        <w:t>What this plan is</w:t>
      </w:r>
      <w:bookmarkEnd w:id="7"/>
    </w:p>
    <w:p>
      <w:r>
        <w:rPr>
          <w:b w:val="0"/>
        </w:rPr>
        <w:t>This document is Arcfield's internal audit plan for the current cycle. It is the freeze of objectives, scope, criteria, independence and sampling before fieldwork. It is not the audit report, not the programme checklist and not management-review minutes. Findings leave this file as corrective actions with owners. Cite this Document Control version from those records.</w:t>
      </w:r>
    </w:p>
    <w:p>
      <w:pPr>
        <w:pStyle w:val="974"/>
        <w:outlineLvl w:val="1"/>
      </w:pPr>
      <w:bookmarkStart w:id="8" w:name="_TocRAM003"/>
      <w:r>
        <w:t>Scope</w:t>
      </w:r>
      <w:bookmarkEnd w:id="8"/>
    </w:p>
    <w:p>
      <w:r>
        <w:rPr>
          <w:b w:val="0"/>
        </w:rPr>
        <w:t>Use this table before fieldwork. If a fact belongs in the report or a checklist, it does not belong in this plan.</w:t>
      </w:r>
    </w:p>
    <w:tbl>
      <w:tblPr>
        <w:tblStyle w:val="1033"/>
        <w:tblW w:type="dxa" w:w="10080"/>
        <w:jc w:val="left"/>
        <w:tblLayout w:type="fixed"/>
        <w:tblLook w:firstColumn="1" w:firstRow="1" w:lastColumn="0" w:lastRow="0" w:noHBand="0" w:noVBand="1" w:val="04A0"/>
      </w:tblPr>
      <w:tblGrid>
        <w:gridCol w:w="2008"/>
        <w:gridCol w:w="4011"/>
        <w:gridCol w:w="2296"/>
        <w:gridCol w:w="1765"/>
      </w:tblGrid>
      <w:tr>
        <w:trPr>
          <w:tblHeader/>
          <w:cantSplit/>
        </w:trPr>
        <w:tc>
          <w:tcPr>
            <w:tcW w:type="dxa" w:w="2008"/>
            <w:shd w:fill="F7F9FC"/>
          </w:tcPr>
          <w:p>
            <w:r/>
            <w:r>
              <w:rPr>
                <w:b/>
                <w:color w:val="1F6FEB"/>
                <w:sz w:val="18"/>
              </w:rPr>
              <w:t>In this plan</w:t>
            </w:r>
          </w:p>
        </w:tc>
        <w:tc>
          <w:tcPr>
            <w:tcW w:type="dxa" w:w="4011"/>
            <w:shd w:fill="F7F9FC"/>
          </w:tcPr>
          <w:p>
            <w:r/>
            <w:r>
              <w:rPr>
                <w:b/>
                <w:color w:val="1F6FEB"/>
                <w:sz w:val="18"/>
              </w:rPr>
              <w:t>Not in this plan</w:t>
            </w:r>
          </w:p>
        </w:tc>
        <w:tc>
          <w:tcPr>
            <w:tcW w:type="dxa" w:w="2296"/>
            <w:shd w:fill="F7F9FC"/>
          </w:tcPr>
          <w:p>
            <w:r/>
            <w:r>
              <w:rPr>
                <w:b/>
                <w:color w:val="1F6FEB"/>
                <w:sz w:val="18"/>
              </w:rPr>
              <w:t>Evidence reference</w:t>
            </w:r>
          </w:p>
        </w:tc>
        <w:tc>
          <w:tcPr>
            <w:tcW w:type="dxa" w:w="1765"/>
            <w:shd w:fill="F7F9FC"/>
          </w:tcPr>
          <w:p>
            <w:r/>
            <w:r>
              <w:rPr>
                <w:b/>
                <w:color w:val="1F6FEB"/>
                <w:sz w:val="18"/>
              </w:rPr>
              <w:t>Evidence status</w:t>
            </w:r>
          </w:p>
        </w:tc>
      </w:tr>
      <w:tr>
        <w:trPr>
          <w:cantSplit/>
        </w:trPr>
        <w:tc>
          <w:tcPr>
            <w:tcW w:type="dxa" w:w="2008"/>
          </w:tcPr>
          <w:p>
            <w:r/>
            <w:r>
              <w:rPr>
                <w:b w:val="0"/>
                <w:color w:val="1F2328"/>
                <w:sz w:val="18"/>
              </w:rPr>
              <w:t>This cycle's objectives, criteria, independence limits, sampling and schedule.</w:t>
            </w:r>
          </w:p>
        </w:tc>
        <w:tc>
          <w:tcPr>
            <w:tcW w:type="dxa" w:w="4011"/>
          </w:tcPr>
          <w:p>
            <w:r/>
            <w:r>
              <w:rPr>
                <w:b w:val="0"/>
                <w:color w:val="1F2328"/>
                <w:sz w:val="18"/>
              </w:rPr>
              <w:t>Audit findings, ratings or closing comments. Those belong in the audit report.</w:t>
            </w:r>
          </w:p>
        </w:tc>
        <w:tc>
          <w:tcPr>
            <w:tcW w:type="dxa" w:w="2296"/>
          </w:tcPr>
          <w:p>
            <w:r/>
            <w:r>
              <w:rPr>
                <w:b w:val="0"/>
                <w:color w:val="1F2328"/>
                <w:sz w:val="18"/>
              </w:rPr>
              <w:t>IAP-EV-2026-Q3</w:t>
            </w:r>
          </w:p>
        </w:tc>
        <w:tc>
          <w:tcPr>
            <w:tcW w:type="dxa" w:w="1765"/>
          </w:tcPr>
          <w:p>
            <w:r/>
            <w:r>
              <w:rPr>
                <w:b w:val="0"/>
                <w:color w:val="1F2328"/>
                <w:sz w:val="18"/>
              </w:rPr>
              <w:t>Complete</w:t>
            </w:r>
          </w:p>
        </w:tc>
      </w:tr>
      <w:tr>
        <w:trPr>
          <w:cantSplit/>
        </w:trPr>
        <w:tc>
          <w:tcPr>
            <w:tcW w:type="dxa" w:w="2008"/>
          </w:tcPr>
          <w:p>
            <w:r/>
            <w:r>
              <w:rPr>
                <w:b w:val="0"/>
                <w:color w:val="1F2328"/>
                <w:sz w:val="18"/>
              </w:rPr>
              <w:t>The sample focus for privileged access, CI/CD, suppliers and evidence stores.</w:t>
            </w:r>
          </w:p>
        </w:tc>
        <w:tc>
          <w:tcPr>
            <w:tcW w:type="dxa" w:w="4011"/>
          </w:tcPr>
          <w:p>
            <w:r/>
            <w:r>
              <w:rPr>
                <w:b w:val="0"/>
                <w:color w:val="1F2328"/>
                <w:sz w:val="18"/>
              </w:rPr>
              <w:t>The working checklists. Those are IAPC and related forms.</w:t>
            </w:r>
          </w:p>
        </w:tc>
        <w:tc>
          <w:tcPr>
            <w:tcW w:type="dxa" w:w="2296"/>
          </w:tcPr>
          <w:p>
            <w:r/>
            <w:r>
              <w:rPr>
                <w:b w:val="0"/>
                <w:color w:val="1F2328"/>
                <w:sz w:val="18"/>
              </w:rPr>
              <w:t>IAP-EV-2026-Q3</w:t>
            </w:r>
          </w:p>
        </w:tc>
        <w:tc>
          <w:tcPr>
            <w:tcW w:type="dxa" w:w="1765"/>
          </w:tcPr>
          <w:p>
            <w:r/>
            <w:r>
              <w:rPr>
                <w:b w:val="0"/>
                <w:color w:val="1F2328"/>
                <w:sz w:val="18"/>
              </w:rPr>
              <w:t>Complete</w:t>
            </w:r>
          </w:p>
        </w:tc>
      </w:tr>
      <w:tr>
        <w:trPr>
          <w:cantSplit/>
        </w:trPr>
        <w:tc>
          <w:tcPr>
            <w:tcW w:type="dxa" w:w="2008"/>
          </w:tcPr>
          <w:p>
            <w:r/>
            <w:r>
              <w:rPr>
                <w:b w:val="0"/>
                <w:color w:val="1F2328"/>
                <w:sz w:val="18"/>
              </w:rPr>
              <w:t>Follow-up routing into corrective action with owner and due date.</w:t>
            </w:r>
          </w:p>
        </w:tc>
        <w:tc>
          <w:tcPr>
            <w:tcW w:type="dxa" w:w="4011"/>
          </w:tcPr>
          <w:p>
            <w:r/>
            <w:r>
              <w:rPr>
                <w:b w:val="0"/>
                <w:color w:val="1F2328"/>
                <w:sz w:val="18"/>
              </w:rPr>
              <w:t>Management-review minutes. Those cite this Document Control version.</w:t>
            </w:r>
          </w:p>
        </w:tc>
        <w:tc>
          <w:tcPr>
            <w:tcW w:type="dxa" w:w="2296"/>
          </w:tcPr>
          <w:p>
            <w:r/>
            <w:r>
              <w:rPr>
                <w:b w:val="0"/>
                <w:color w:val="1F2328"/>
                <w:sz w:val="18"/>
              </w:rPr>
              <w:t>IAP-EV-2026-Q3</w:t>
            </w:r>
          </w:p>
        </w:tc>
        <w:tc>
          <w:tcPr>
            <w:tcW w:type="dxa" w:w="1765"/>
          </w:tcPr>
          <w:p>
            <w:r/>
            <w:r>
              <w:rPr>
                <w:b w:val="0"/>
                <w:color w:val="1F2328"/>
                <w:sz w:val="18"/>
              </w:rPr>
              <w:t>Complete</w:t>
            </w:r>
          </w:p>
        </w:tc>
      </w:tr>
    </w:tbl>
    <w:p>
      <w:pPr>
        <w:spacing w:before="0" w:after="120"/>
      </w:pPr>
    </w:p>
    <w:p>
      <w:pPr>
        <w:pStyle w:val="974"/>
        <w:outlineLvl w:val="1"/>
      </w:pPr>
      <w:bookmarkStart w:id="9" w:name="_TocRAM004"/>
      <w:r>
        <w:t>Terms used here</w:t>
      </w:r>
      <w:bookmarkEnd w:id="9"/>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008"/>
        <w:gridCol w:w="8072"/>
      </w:tblGrid>
      <w:tr>
        <w:trPr>
          <w:tblHeader/>
          <w:cantSplit/>
        </w:trPr>
        <w:tc>
          <w:tcPr>
            <w:tcW w:type="dxa" w:w="2008"/>
            <w:shd w:fill="F7F9FC"/>
          </w:tcPr>
          <w:p>
            <w:r/>
            <w:r>
              <w:rPr>
                <w:b/>
                <w:color w:val="1F6FEB"/>
                <w:sz w:val="18"/>
              </w:rPr>
              <w:t>Term</w:t>
            </w:r>
          </w:p>
        </w:tc>
        <w:tc>
          <w:tcPr>
            <w:tcW w:type="dxa" w:w="8072"/>
            <w:shd w:fill="F7F9FC"/>
          </w:tcPr>
          <w:p>
            <w:r/>
            <w:r>
              <w:rPr>
                <w:b/>
                <w:color w:val="1F6FEB"/>
                <w:sz w:val="18"/>
              </w:rPr>
              <w:t>Meaning</w:t>
            </w:r>
          </w:p>
        </w:tc>
      </w:tr>
      <w:tr>
        <w:trPr>
          <w:cantSplit/>
        </w:trPr>
        <w:tc>
          <w:tcPr>
            <w:tcW w:type="dxa" w:w="2008"/>
          </w:tcPr>
          <w:p>
            <w:r/>
            <w:r>
              <w:rPr>
                <w:b w:val="0"/>
                <w:color w:val="1F2328"/>
                <w:sz w:val="18"/>
              </w:rPr>
              <w:t>Independence</w:t>
            </w:r>
          </w:p>
        </w:tc>
        <w:tc>
          <w:tcPr>
            <w:tcW w:type="dxa" w:w="8072"/>
          </w:tcPr>
          <w:p>
            <w:r/>
            <w:r>
              <w:rPr>
                <w:b w:val="0"/>
                <w:color w:val="1F2328"/>
                <w:sz w:val="18"/>
              </w:rPr>
              <w:t>Auditors do not audit work they own. A limitation and compensating review must be written before fieldwork if independence is constrained.</w:t>
            </w:r>
          </w:p>
        </w:tc>
      </w:tr>
      <w:tr>
        <w:trPr>
          <w:cantSplit/>
        </w:trPr>
        <w:tc>
          <w:tcPr>
            <w:tcW w:type="dxa" w:w="2008"/>
          </w:tcPr>
          <w:p>
            <w:r/>
            <w:r>
              <w:rPr>
                <w:b w:val="0"/>
                <w:color w:val="1F2328"/>
                <w:sz w:val="18"/>
              </w:rPr>
              <w:t>Sampling</w:t>
            </w:r>
          </w:p>
        </w:tc>
        <w:tc>
          <w:tcPr>
            <w:tcW w:type="dxa" w:w="8072"/>
          </w:tcPr>
          <w:p>
            <w:r/>
            <w:r>
              <w:rPr>
                <w:b w:val="0"/>
                <w:color w:val="1F2328"/>
                <w:sz w:val="18"/>
              </w:rPr>
              <w:t>The pre-agreed set of records, systems and people the auditor will test. It is not chosen during the interview.</w:t>
            </w:r>
          </w:p>
        </w:tc>
      </w:tr>
      <w:tr>
        <w:trPr>
          <w:cantSplit/>
        </w:trPr>
        <w:tc>
          <w:tcPr>
            <w:tcW w:type="dxa" w:w="2008"/>
          </w:tcPr>
          <w:p>
            <w:r/>
            <w:r>
              <w:rPr>
                <w:b w:val="0"/>
                <w:color w:val="1F2328"/>
                <w:sz w:val="18"/>
              </w:rPr>
              <w:t>Follow-up</w:t>
            </w:r>
          </w:p>
        </w:tc>
        <w:tc>
          <w:tcPr>
            <w:tcW w:type="dxa" w:w="8072"/>
          </w:tcPr>
          <w:p>
            <w:r/>
            <w:r>
              <w:rPr>
                <w:b w:val="0"/>
                <w:color w:val="1F2328"/>
                <w:sz w:val="18"/>
              </w:rPr>
              <w:t>A finding becomes a corrective action with owner and due date. It is not closed in this plan.</w:t>
            </w:r>
          </w:p>
        </w:tc>
      </w:tr>
    </w:tbl>
    <w:p>
      <w:pPr>
        <w:spacing w:before="0" w:after="120"/>
      </w:pPr>
    </w:p>
    <w:p>
      <w:pPr>
        <w:pStyle w:val="974"/>
        <w:outlineLvl w:val="1"/>
      </w:pPr>
      <w:bookmarkStart w:id="10" w:name="_TocRAM005"/>
      <w:r>
        <w:t>Audit programme linkage</w:t>
      </w:r>
      <w:bookmarkEnd w:id="10"/>
    </w:p>
    <w:p>
      <w:r>
        <w:rPr>
          <w:b w:val="0"/>
        </w:rPr>
        <w:t>This audit is part of the Q3 audit-readiness cycle. It focuses on areas with certification relevance, recent changes, open high risks and evidence gaps.</w:t>
      </w:r>
    </w:p>
    <w:p>
      <w:pPr>
        <w:pStyle w:val="974"/>
        <w:outlineLvl w:val="1"/>
      </w:pPr>
      <w:bookmarkStart w:id="11" w:name="_TocRAM006"/>
      <w:r>
        <w:t>Audit objectives</w:t>
      </w:r>
      <w:bookmarkEnd w:id="11"/>
    </w:p>
    <w:p>
      <w:r>
        <w:rPr>
          <w:b w:val="0"/>
        </w:rPr>
        <w:t>The internal audit evaluates whether the ISMS conforms to ISO/IEC 27001:2022, Arcfield ISMS requirements and evidence-readiness expectations. It also checks whether the ISMS is effectively implemented and maintained.</w:t>
      </w:r>
    </w:p>
    <w:p>
      <w:pPr>
        <w:pStyle w:val="974"/>
        <w:outlineLvl w:val="1"/>
      </w:pPr>
      <w:bookmarkStart w:id="12" w:name="_TocRAM007"/>
      <w:r>
        <w:t>Audit scope</w:t>
      </w:r>
      <w:bookmarkEnd w:id="12"/>
    </w:p>
    <w:p>
      <w:r>
        <w:rPr>
          <w:b w:val="0"/>
        </w:rPr>
        <w:t>The audit covers the approved ISMS scope, including governance, risk management, SoA (Statement of Applicability), operational controls, supplier controls, incident management, business continuity, monitoring, awareness and documented information.</w:t>
      </w:r>
    </w:p>
    <w:p>
      <w:pPr>
        <w:pStyle w:val="974"/>
        <w:outlineLvl w:val="1"/>
      </w:pPr>
      <w:bookmarkStart w:id="13" w:name="_TocRAM008"/>
      <w:r>
        <w:t>Audit criteria</w:t>
      </w:r>
      <w:bookmarkEnd w:id="13"/>
    </w:p>
    <w:p>
      <w:r>
        <w:rPr>
          <w:b w:val="0"/>
        </w:rPr>
        <w:t>Use these criteria as the audit test basis. Do not add informal criteria during fieldwork without recording a plan change.</w:t>
      </w:r>
    </w:p>
    <w:p>
      <w:pPr>
        <w:pStyle w:val="1003"/>
        <w:ind w:left="360" w:hanging="259"/>
      </w:pPr>
      <w:r>
        <w:rPr>
          <w:b w:val="0"/>
        </w:rPr>
        <w:t>ISO/IEC 27001:2022 Clauses 4-10.</w:t>
      </w:r>
    </w:p>
    <w:p>
      <w:pPr>
        <w:pStyle w:val="1003"/>
        <w:ind w:left="360" w:hanging="259"/>
      </w:pPr>
      <w:r>
        <w:rPr>
          <w:b w:val="0"/>
        </w:rPr>
        <w:t>Applicable Annex A controls from the Statement of Applicability.</w:t>
      </w:r>
    </w:p>
    <w:p>
      <w:pPr>
        <w:pStyle w:val="1003"/>
        <w:ind w:left="360" w:hanging="259"/>
      </w:pPr>
      <w:r>
        <w:rPr>
          <w:b w:val="0"/>
        </w:rPr>
        <w:t>Approved ISMS policies, procedures and records.</w:t>
      </w:r>
    </w:p>
    <w:p>
      <w:pPr>
        <w:pStyle w:val="1003"/>
        <w:ind w:left="360" w:hanging="259"/>
      </w:pPr>
      <w:r>
        <w:rPr>
          <w:b w:val="0"/>
        </w:rPr>
        <w:t>Legal, regulatory, contractual and customer requirements where applicable.</w:t>
      </w:r>
    </w:p>
    <w:p>
      <w:pPr>
        <w:pStyle w:val="974"/>
        <w:outlineLvl w:val="1"/>
      </w:pPr>
      <w:bookmarkStart w:id="14" w:name="_TocRAM009"/>
      <w:r>
        <w:t>Auditor independence</w:t>
      </w:r>
      <w:bookmarkEnd w:id="14"/>
    </w:p>
    <w:p>
      <w:r>
        <w:rPr>
          <w:b w:val="0"/>
        </w:rPr>
        <w:t>Auditors must not audit work for which they are directly responsible. Where full independence is not possible, the limitation and compensating review must be documented. Technical owners may explain systems, but must not make audit judgments about their own work.</w:t>
      </w:r>
    </w:p>
    <w:p>
      <w:pPr>
        <w:pStyle w:val="974"/>
        <w:outlineLvl w:val="1"/>
      </w:pPr>
      <w:bookmarkStart w:id="15" w:name="_TocRAM010"/>
      <w:r>
        <w:t>Risk-based sampling</w:t>
      </w:r>
      <w:bookmarkEnd w:id="15"/>
    </w:p>
    <w:p>
      <w:r>
        <w:rPr>
          <w:b w:val="0"/>
        </w:rPr>
        <w:t>Samples are selected using risk level, mandatory-document status, recent changes, supplier criticality, prior findings and evidence gaps. Sampling must be defined before fieldwork and retained with the workpapers.</w:t>
      </w:r>
    </w:p>
    <w:p>
      <w:pPr>
        <w:pStyle w:val="974"/>
        <w:outlineLvl w:val="1"/>
      </w:pPr>
      <w:bookmarkStart w:id="16" w:name="_TocRAM011"/>
      <w:r>
        <w:t>Audit schedule</w:t>
      </w:r>
      <w:bookmarkEnd w:id="16"/>
    </w:p>
    <w:p>
      <w:r>
        <w:rPr>
          <w:b w:val="0"/>
        </w:rPr>
        <w:t>Complete every row before fieldwork. Do not start an area that has no auditor or sample focus.</w:t>
      </w:r>
    </w:p>
    <w:tbl>
      <w:tblPr>
        <w:tblStyle w:val="1033"/>
        <w:tblW w:type="dxa" w:w="10074"/>
        <w:jc w:val="left"/>
        <w:tblLayout w:type="fixed"/>
        <w:tblLook w:firstColumn="1" w:firstRow="1" w:lastColumn="0" w:lastRow="0" w:noHBand="0" w:noVBand="1" w:val="04A0"/>
      </w:tblPr>
      <w:tblGrid>
        <w:gridCol w:w="974"/>
        <w:gridCol w:w="974"/>
        <w:gridCol w:w="811"/>
        <w:gridCol w:w="974"/>
        <w:gridCol w:w="1219"/>
        <w:gridCol w:w="1709"/>
        <w:gridCol w:w="811"/>
        <w:gridCol w:w="1791"/>
        <w:gridCol w:w="811"/>
      </w:tblGrid>
      <w:tr>
        <w:trPr>
          <w:tblHeader/>
          <w:cantSplit/>
        </w:trPr>
        <w:tc>
          <w:tcPr>
            <w:tcW w:type="dxa" w:w="974"/>
            <w:shd w:fill="F7F9FC"/>
          </w:tcPr>
          <w:p>
            <w:r/>
            <w:r>
              <w:rPr>
                <w:b/>
                <w:color w:val="1F6FEB"/>
                <w:sz w:val="18"/>
              </w:rPr>
              <w:t>Audit Area</w:t>
            </w:r>
          </w:p>
        </w:tc>
        <w:tc>
          <w:tcPr>
            <w:tcW w:type="dxa" w:w="974"/>
            <w:shd w:fill="F7F9FC"/>
          </w:tcPr>
          <w:p>
            <w:r/>
            <w:r>
              <w:rPr>
                <w:b/>
                <w:color w:val="1F6FEB"/>
                <w:sz w:val="18"/>
              </w:rPr>
              <w:t>Planned Date</w:t>
            </w:r>
          </w:p>
        </w:tc>
        <w:tc>
          <w:tcPr>
            <w:tcW w:type="dxa" w:w="811"/>
            <w:shd w:fill="F7F9FC"/>
          </w:tcPr>
          <w:p>
            <w:r/>
            <w:r>
              <w:rPr>
                <w:b/>
                <w:color w:val="1F6FEB"/>
                <w:sz w:val="18"/>
              </w:rPr>
              <w:t>Auditor</w:t>
            </w:r>
          </w:p>
        </w:tc>
        <w:tc>
          <w:tcPr>
            <w:tcW w:type="dxa" w:w="974"/>
            <w:shd w:fill="F7F9FC"/>
          </w:tcPr>
          <w:p>
            <w:r/>
            <w:r>
              <w:rPr>
                <w:b/>
                <w:color w:val="1F6FEB"/>
                <w:sz w:val="18"/>
              </w:rPr>
              <w:t>Auditee / Owner</w:t>
            </w:r>
          </w:p>
        </w:tc>
        <w:tc>
          <w:tcPr>
            <w:tcW w:type="dxa" w:w="1219"/>
            <w:shd w:fill="F7F9FC"/>
          </w:tcPr>
          <w:p>
            <w:r/>
            <w:r>
              <w:rPr>
                <w:b/>
                <w:color w:val="1F6FEB"/>
                <w:sz w:val="18"/>
              </w:rPr>
              <w:t>Criteria</w:t>
            </w:r>
          </w:p>
        </w:tc>
        <w:tc>
          <w:tcPr>
            <w:tcW w:type="dxa" w:w="1709"/>
            <w:shd w:fill="F7F9FC"/>
          </w:tcPr>
          <w:p>
            <w:r/>
            <w:r>
              <w:rPr>
                <w:b/>
                <w:color w:val="1F6FEB"/>
                <w:sz w:val="18"/>
              </w:rPr>
              <w:t>Sample focus</w:t>
            </w:r>
          </w:p>
        </w:tc>
        <w:tc>
          <w:tcPr>
            <w:tcW w:type="dxa" w:w="811"/>
            <w:shd w:fill="F7F9FC"/>
          </w:tcPr>
          <w:p>
            <w:r/>
            <w:r>
              <w:rPr>
                <w:b/>
                <w:color w:val="1F6FEB"/>
                <w:sz w:val="18"/>
              </w:rPr>
              <w:t>Status</w:t>
            </w:r>
          </w:p>
        </w:tc>
        <w:tc>
          <w:tcPr>
            <w:tcW w:type="dxa" w:w="1791"/>
            <w:shd w:fill="F7F9FC"/>
          </w:tcPr>
          <w:p>
            <w:r/>
            <w:r>
              <w:rPr>
                <w:b/>
                <w:color w:val="1F6FEB"/>
                <w:sz w:val="18"/>
              </w:rPr>
              <w:t>Evidence reference</w:t>
            </w:r>
          </w:p>
        </w:tc>
        <w:tc>
          <w:tcPr>
            <w:tcW w:type="dxa" w:w="811"/>
            <w:shd w:fill="F7F9FC"/>
          </w:tcPr>
          <w:p>
            <w:r/>
            <w:r>
              <w:rPr>
                <w:b/>
                <w:color w:val="1F6FEB"/>
                <w:sz w:val="18"/>
              </w:rPr>
              <w:t>Evidence status</w:t>
            </w:r>
          </w:p>
        </w:tc>
      </w:tr>
      <w:tr>
        <w:trPr>
          <w:cantSplit/>
        </w:trPr>
        <w:tc>
          <w:tcPr>
            <w:tcW w:type="dxa" w:w="974"/>
          </w:tcPr>
          <w:p>
            <w:r/>
            <w:r>
              <w:rPr>
                <w:b w:val="0"/>
                <w:color w:val="1F2328"/>
                <w:sz w:val="18"/>
              </w:rPr>
              <w:t>ISMS governance</w:t>
            </w:r>
          </w:p>
        </w:tc>
        <w:tc>
          <w:tcPr>
            <w:tcW w:type="dxa" w:w="974"/>
          </w:tcPr>
          <w:p>
            <w:r/>
            <w:r>
              <w:rPr>
                <w:b w:val="0"/>
                <w:color w:val="1F2328"/>
                <w:sz w:val="18"/>
              </w:rPr>
              <w:t>2026-09-10</w:t>
            </w:r>
          </w:p>
        </w:tc>
        <w:tc>
          <w:tcPr>
            <w:tcW w:type="dxa" w:w="811"/>
          </w:tcPr>
          <w:p>
            <w:r/>
            <w:r>
              <w:rPr>
                <w:b w:val="0"/>
                <w:color w:val="1F2328"/>
                <w:sz w:val="18"/>
              </w:rPr>
              <w:t>Internal Auditor</w:t>
            </w:r>
          </w:p>
        </w:tc>
        <w:tc>
          <w:tcPr>
            <w:tcW w:type="dxa" w:w="974"/>
          </w:tcPr>
          <w:p>
            <w:r/>
            <w:r>
              <w:rPr>
                <w:b w:val="0"/>
                <w:color w:val="1F2328"/>
                <w:sz w:val="18"/>
              </w:rPr>
              <w:t>ISMS Manager</w:t>
            </w:r>
          </w:p>
        </w:tc>
        <w:tc>
          <w:tcPr>
            <w:tcW w:type="dxa" w:w="1219"/>
          </w:tcPr>
          <w:p>
            <w:r/>
            <w:r>
              <w:rPr>
                <w:b w:val="0"/>
                <w:color w:val="1F2328"/>
                <w:sz w:val="18"/>
              </w:rPr>
              <w:t>Clauses 4-5</w:t>
            </w:r>
          </w:p>
        </w:tc>
        <w:tc>
          <w:tcPr>
            <w:tcW w:type="dxa" w:w="1709"/>
          </w:tcPr>
          <w:p>
            <w:r/>
            <w:r>
              <w:rPr>
                <w:b w:val="0"/>
                <w:color w:val="1F2328"/>
                <w:sz w:val="18"/>
              </w:rPr>
              <w:t>Scope, policy, roles, documented information</w:t>
            </w:r>
          </w:p>
        </w:tc>
        <w:tc>
          <w:tcPr>
            <w:tcW w:type="dxa" w:w="811"/>
          </w:tcPr>
          <w:p>
            <w:r/>
            <w:r>
              <w:rPr>
                <w:b w:val="0"/>
                <w:color w:val="1F2328"/>
                <w:sz w:val="18"/>
              </w:rPr>
              <w:t>In progress</w:t>
            </w:r>
          </w:p>
        </w:tc>
        <w:tc>
          <w:tcPr>
            <w:tcW w:type="dxa" w:w="1791"/>
          </w:tcPr>
          <w:p>
            <w:r/>
            <w:r>
              <w:rPr>
                <w:b w:val="0"/>
                <w:color w:val="1F2328"/>
                <w:sz w:val="18"/>
              </w:rPr>
              <w:t>IAP-WP-ISMS-GOVERNANCE-2026-Q3</w:t>
            </w:r>
          </w:p>
        </w:tc>
        <w:tc>
          <w:tcPr>
            <w:tcW w:type="dxa" w:w="811"/>
          </w:tcPr>
          <w:p>
            <w:r/>
            <w:r>
              <w:rPr>
                <w:b w:val="0"/>
                <w:color w:val="1F2328"/>
                <w:sz w:val="18"/>
              </w:rPr>
              <w:t>Complete</w:t>
            </w:r>
          </w:p>
        </w:tc>
      </w:tr>
      <w:tr>
        <w:trPr>
          <w:cantSplit/>
        </w:trPr>
        <w:tc>
          <w:tcPr>
            <w:tcW w:type="dxa" w:w="974"/>
          </w:tcPr>
          <w:p>
            <w:r/>
            <w:r>
              <w:rPr>
                <w:b w:val="0"/>
                <w:color w:val="1F2328"/>
                <w:sz w:val="18"/>
              </w:rPr>
              <w:t>Risk management</w:t>
            </w:r>
          </w:p>
        </w:tc>
        <w:tc>
          <w:tcPr>
            <w:tcW w:type="dxa" w:w="974"/>
          </w:tcPr>
          <w:p>
            <w:r/>
            <w:r>
              <w:rPr>
                <w:b w:val="0"/>
                <w:color w:val="1F2328"/>
                <w:sz w:val="18"/>
              </w:rPr>
              <w:t>2026-09-12</w:t>
            </w:r>
          </w:p>
        </w:tc>
        <w:tc>
          <w:tcPr>
            <w:tcW w:type="dxa" w:w="811"/>
          </w:tcPr>
          <w:p>
            <w:r/>
            <w:r>
              <w:rPr>
                <w:b w:val="0"/>
                <w:color w:val="1F2328"/>
                <w:sz w:val="18"/>
              </w:rPr>
              <w:t>Internal Auditor</w:t>
            </w:r>
          </w:p>
        </w:tc>
        <w:tc>
          <w:tcPr>
            <w:tcW w:type="dxa" w:w="974"/>
          </w:tcPr>
          <w:p>
            <w:r/>
            <w:r>
              <w:rPr>
                <w:b w:val="0"/>
                <w:color w:val="1F2328"/>
                <w:sz w:val="18"/>
              </w:rPr>
              <w:t>Risk Manager</w:t>
            </w:r>
          </w:p>
        </w:tc>
        <w:tc>
          <w:tcPr>
            <w:tcW w:type="dxa" w:w="1219"/>
          </w:tcPr>
          <w:p>
            <w:r/>
            <w:r>
              <w:rPr>
                <w:b w:val="0"/>
                <w:color w:val="1F2328"/>
                <w:sz w:val="18"/>
              </w:rPr>
              <w:t>Clause 6.1</w:t>
            </w:r>
          </w:p>
        </w:tc>
        <w:tc>
          <w:tcPr>
            <w:tcW w:type="dxa" w:w="1709"/>
          </w:tcPr>
          <w:p>
            <w:r/>
            <w:r>
              <w:rPr>
                <w:b w:val="0"/>
                <w:color w:val="1F2328"/>
                <w:sz w:val="18"/>
              </w:rPr>
              <w:t>High risks, treatment plans, risk acceptance</w:t>
            </w:r>
          </w:p>
        </w:tc>
        <w:tc>
          <w:tcPr>
            <w:tcW w:type="dxa" w:w="811"/>
          </w:tcPr>
          <w:p>
            <w:r/>
            <w:r>
              <w:rPr>
                <w:b w:val="0"/>
                <w:color w:val="1F2328"/>
                <w:sz w:val="18"/>
              </w:rPr>
              <w:t>Planned</w:t>
            </w:r>
          </w:p>
        </w:tc>
        <w:tc>
          <w:tcPr>
            <w:tcW w:type="dxa" w:w="1791"/>
          </w:tcPr>
          <w:p>
            <w:r/>
            <w:r>
              <w:rPr>
                <w:b w:val="0"/>
                <w:color w:val="1F2328"/>
                <w:sz w:val="18"/>
              </w:rPr>
              <w:t>IAP-WP-RISK-MANAGEMENT-2026-Q3</w:t>
            </w:r>
          </w:p>
        </w:tc>
        <w:tc>
          <w:tcPr>
            <w:tcW w:type="dxa" w:w="811"/>
          </w:tcPr>
          <w:p>
            <w:r/>
            <w:r>
              <w:rPr>
                <w:b w:val="0"/>
                <w:color w:val="1F2328"/>
                <w:sz w:val="18"/>
              </w:rPr>
              <w:t>Complete</w:t>
            </w:r>
          </w:p>
        </w:tc>
      </w:tr>
      <w:tr>
        <w:trPr>
          <w:cantSplit/>
        </w:trPr>
        <w:tc>
          <w:tcPr>
            <w:tcW w:type="dxa" w:w="974"/>
          </w:tcPr>
          <w:p>
            <w:r/>
            <w:r>
              <w:rPr>
                <w:b w:val="0"/>
                <w:color w:val="1F2328"/>
                <w:sz w:val="18"/>
              </w:rPr>
              <w:t>Access control</w:t>
            </w:r>
          </w:p>
        </w:tc>
        <w:tc>
          <w:tcPr>
            <w:tcW w:type="dxa" w:w="974"/>
          </w:tcPr>
          <w:p>
            <w:r/>
            <w:r>
              <w:rPr>
                <w:b w:val="0"/>
                <w:color w:val="1F2328"/>
                <w:sz w:val="18"/>
              </w:rPr>
              <w:t>2026-09-16</w:t>
            </w:r>
          </w:p>
        </w:tc>
        <w:tc>
          <w:tcPr>
            <w:tcW w:type="dxa" w:w="811"/>
          </w:tcPr>
          <w:p>
            <w:r/>
            <w:r>
              <w:rPr>
                <w:b w:val="0"/>
                <w:color w:val="1F2328"/>
                <w:sz w:val="18"/>
              </w:rPr>
              <w:t>Internal Auditor</w:t>
            </w:r>
          </w:p>
        </w:tc>
        <w:tc>
          <w:tcPr>
            <w:tcW w:type="dxa" w:w="974"/>
          </w:tcPr>
          <w:p>
            <w:r/>
            <w:r>
              <w:rPr>
                <w:b w:val="0"/>
                <w:color w:val="1F2328"/>
                <w:sz w:val="18"/>
              </w:rPr>
              <w:t>IT Operations Manager</w:t>
            </w:r>
          </w:p>
        </w:tc>
        <w:tc>
          <w:tcPr>
            <w:tcW w:type="dxa" w:w="1219"/>
          </w:tcPr>
          <w:p>
            <w:r/>
            <w:r>
              <w:rPr>
                <w:b w:val="0"/>
                <w:color w:val="1F2328"/>
                <w:sz w:val="18"/>
              </w:rPr>
              <w:t>A.5.15-A.5.18</w:t>
            </w:r>
          </w:p>
        </w:tc>
        <w:tc>
          <w:tcPr>
            <w:tcW w:type="dxa" w:w="1709"/>
          </w:tcPr>
          <w:p>
            <w:r/>
            <w:r>
              <w:rPr>
                <w:b w:val="0"/>
                <w:color w:val="1F2328"/>
                <w:sz w:val="18"/>
              </w:rPr>
              <w:t>Privileged access, joiner/mover/leaver evidence</w:t>
            </w:r>
          </w:p>
        </w:tc>
        <w:tc>
          <w:tcPr>
            <w:tcW w:type="dxa" w:w="811"/>
          </w:tcPr>
          <w:p>
            <w:r/>
            <w:r>
              <w:rPr>
                <w:b w:val="0"/>
                <w:color w:val="1F2328"/>
                <w:sz w:val="18"/>
              </w:rPr>
              <w:t>Planned</w:t>
            </w:r>
          </w:p>
        </w:tc>
        <w:tc>
          <w:tcPr>
            <w:tcW w:type="dxa" w:w="1791"/>
          </w:tcPr>
          <w:p>
            <w:r/>
            <w:r>
              <w:rPr>
                <w:b w:val="0"/>
                <w:color w:val="1F2328"/>
                <w:sz w:val="18"/>
              </w:rPr>
              <w:t>IAP-WP-ACCESS-CONTROL-2026-Q3</w:t>
            </w:r>
          </w:p>
        </w:tc>
        <w:tc>
          <w:tcPr>
            <w:tcW w:type="dxa" w:w="811"/>
          </w:tcPr>
          <w:p>
            <w:r/>
            <w:r>
              <w:rPr>
                <w:b w:val="0"/>
                <w:color w:val="1F2328"/>
                <w:sz w:val="18"/>
              </w:rPr>
              <w:t>Complete</w:t>
            </w:r>
          </w:p>
        </w:tc>
      </w:tr>
      <w:tr>
        <w:trPr>
          <w:cantSplit/>
        </w:trPr>
        <w:tc>
          <w:tcPr>
            <w:tcW w:type="dxa" w:w="974"/>
          </w:tcPr>
          <w:p>
            <w:r/>
            <w:r>
              <w:rPr>
                <w:b w:val="0"/>
                <w:color w:val="1F2328"/>
                <w:sz w:val="18"/>
              </w:rPr>
              <w:t>Supplier management</w:t>
            </w:r>
          </w:p>
        </w:tc>
        <w:tc>
          <w:tcPr>
            <w:tcW w:type="dxa" w:w="974"/>
          </w:tcPr>
          <w:p>
            <w:r/>
            <w:r>
              <w:rPr>
                <w:b w:val="0"/>
                <w:color w:val="1F2328"/>
                <w:sz w:val="18"/>
              </w:rPr>
              <w:t>2026-09-18</w:t>
            </w:r>
          </w:p>
        </w:tc>
        <w:tc>
          <w:tcPr>
            <w:tcW w:type="dxa" w:w="811"/>
          </w:tcPr>
          <w:p>
            <w:r/>
            <w:r>
              <w:rPr>
                <w:b w:val="0"/>
                <w:color w:val="1F2328"/>
                <w:sz w:val="18"/>
              </w:rPr>
              <w:t>Internal Auditor</w:t>
            </w:r>
          </w:p>
        </w:tc>
        <w:tc>
          <w:tcPr>
            <w:tcW w:type="dxa" w:w="974"/>
          </w:tcPr>
          <w:p>
            <w:r/>
            <w:r>
              <w:rPr>
                <w:b w:val="0"/>
                <w:color w:val="1F2328"/>
                <w:sz w:val="18"/>
              </w:rPr>
              <w:t>Supplier Manager</w:t>
            </w:r>
          </w:p>
        </w:tc>
        <w:tc>
          <w:tcPr>
            <w:tcW w:type="dxa" w:w="1219"/>
          </w:tcPr>
          <w:p>
            <w:r/>
            <w:r>
              <w:rPr>
                <w:b w:val="0"/>
                <w:color w:val="1F2328"/>
                <w:sz w:val="18"/>
              </w:rPr>
              <w:t>A.5.19-A.5.23</w:t>
            </w:r>
          </w:p>
        </w:tc>
        <w:tc>
          <w:tcPr>
            <w:tcW w:type="dxa" w:w="1709"/>
          </w:tcPr>
          <w:p>
            <w:r/>
            <w:r>
              <w:rPr>
                <w:b w:val="0"/>
                <w:color w:val="1F2328"/>
                <w:sz w:val="18"/>
              </w:rPr>
              <w:t>Critical supplier due diligence and monitoring</w:t>
            </w:r>
          </w:p>
        </w:tc>
        <w:tc>
          <w:tcPr>
            <w:tcW w:type="dxa" w:w="811"/>
          </w:tcPr>
          <w:p>
            <w:r/>
            <w:r>
              <w:rPr>
                <w:b w:val="0"/>
                <w:color w:val="1F2328"/>
                <w:sz w:val="18"/>
              </w:rPr>
              <w:t>Planned</w:t>
            </w:r>
          </w:p>
        </w:tc>
        <w:tc>
          <w:tcPr>
            <w:tcW w:type="dxa" w:w="1791"/>
          </w:tcPr>
          <w:p>
            <w:r/>
            <w:r>
              <w:rPr>
                <w:b w:val="0"/>
                <w:color w:val="1F2328"/>
                <w:sz w:val="18"/>
              </w:rPr>
              <w:t>IAP-WP-SUPPLIER-MANAGEMENT-2026-Q3</w:t>
            </w:r>
          </w:p>
        </w:tc>
        <w:tc>
          <w:tcPr>
            <w:tcW w:type="dxa" w:w="811"/>
          </w:tcPr>
          <w:p>
            <w:r/>
            <w:r>
              <w:rPr>
                <w:b w:val="0"/>
                <w:color w:val="1F2328"/>
                <w:sz w:val="18"/>
              </w:rPr>
              <w:t>Complete</w:t>
            </w:r>
          </w:p>
        </w:tc>
      </w:tr>
    </w:tbl>
    <w:p>
      <w:pPr>
        <w:spacing w:before="0" w:after="120"/>
      </w:pPr>
    </w:p>
    <w:p>
      <w:pPr>
        <w:pStyle w:val="974"/>
        <w:outlineLvl w:val="1"/>
      </w:pPr>
      <w:bookmarkStart w:id="17" w:name="_TocRAM012"/>
      <w:r>
        <w:t>Audit method</w:t>
      </w:r>
      <w:bookmarkEnd w:id="17"/>
    </w:p>
    <w:p>
      <w:r>
        <w:rPr>
          <w:b w:val="0"/>
        </w:rPr>
        <w:t>The audit may include document review, interviews, sampling of records, walkthroughs, control testing and evidence tracing from requirement to implementation.</w:t>
      </w:r>
    </w:p>
    <w:p>
      <w:pPr>
        <w:pStyle w:val="974"/>
        <w:outlineLvl w:val="1"/>
      </w:pPr>
      <w:bookmarkStart w:id="18" w:name="_TocRAM013"/>
      <w:r>
        <w:t>Reporting and follow-up</w:t>
      </w:r>
      <w:bookmarkEnd w:id="18"/>
    </w:p>
    <w:p>
      <w:r>
        <w:rPr>
          <w:b w:val="0"/>
        </w:rPr>
        <w:t>The audit report includes scope, criteria, audited areas, evidence sampled, conformities, nonconformities, opportunities for improvement, corrective actions and due dates. Nonconformities are tracked in the Corrective Actions Register until root cause, correction, corrective action, effectiveness check and closure are complete.</w:t>
      </w:r>
    </w:p>
    <w:p>
      <w:pPr>
        <w:pStyle w:val="974"/>
        <w:outlineLvl w:val="1"/>
      </w:pPr>
      <w:bookmarkStart w:id="19" w:name="_TocRAM014"/>
      <w:r>
        <w:t>Operating evidence sample</w:t>
      </w:r>
      <w:bookmarkEnd w:id="19"/>
    </w:p>
    <w:p>
      <w:r>
        <w:rPr>
          <w:b w:val="0"/>
        </w:rPr>
        <w:t>These records can be retrieved for the 2026-08-29 Arcfield / Arcfield Platform freeze. They are the sample an auditor can re-perform. They are not a second register grid.</w:t>
      </w:r>
    </w:p>
    <w:tbl>
      <w:tblPr>
        <w:tblStyle w:val="1033"/>
        <w:tblW w:type="dxa" w:w="10080"/>
        <w:jc w:val="left"/>
        <w:tblLayout w:type="fixed"/>
        <w:tblLook w:firstColumn="1" w:firstRow="1" w:lastColumn="0" w:lastRow="0" w:noHBand="0" w:noVBand="1" w:val="04A0"/>
      </w:tblPr>
      <w:tblGrid>
        <w:gridCol w:w="1720"/>
        <w:gridCol w:w="4714"/>
        <w:gridCol w:w="3646"/>
      </w:tblGrid>
      <w:tr>
        <w:trPr>
          <w:tblHeader/>
          <w:cantSplit/>
        </w:trPr>
        <w:tc>
          <w:tcPr>
            <w:tcW w:type="dxa" w:w="1720"/>
            <w:shd w:fill="F7F9FC"/>
          </w:tcPr>
          <w:p>
            <w:r/>
            <w:r>
              <w:rPr>
                <w:b/>
                <w:color w:val="1F6FEB"/>
                <w:sz w:val="18"/>
              </w:rPr>
              <w:t>Sample ID</w:t>
            </w:r>
          </w:p>
        </w:tc>
        <w:tc>
          <w:tcPr>
            <w:tcW w:type="dxa" w:w="4714"/>
            <w:shd w:fill="F7F9FC"/>
          </w:tcPr>
          <w:p>
            <w:r/>
            <w:r>
              <w:rPr>
                <w:b/>
                <w:color w:val="1F6FEB"/>
                <w:sz w:val="18"/>
              </w:rPr>
              <w:t>What was sampled</w:t>
            </w:r>
          </w:p>
        </w:tc>
        <w:tc>
          <w:tcPr>
            <w:tcW w:type="dxa" w:w="3646"/>
            <w:shd w:fill="F7F9FC"/>
          </w:tcPr>
          <w:p>
            <w:r/>
            <w:r>
              <w:rPr>
                <w:b/>
                <w:color w:val="1F6FEB"/>
                <w:sz w:val="18"/>
              </w:rPr>
              <w:t>Evidence reference</w:t>
            </w:r>
          </w:p>
        </w:tc>
      </w:tr>
      <w:tr>
        <w:trPr>
          <w:cantSplit/>
        </w:trPr>
        <w:tc>
          <w:tcPr>
            <w:tcW w:type="dxa" w:w="1720"/>
          </w:tcPr>
          <w:p>
            <w:r/>
            <w:r>
              <w:rPr>
                <w:b w:val="0"/>
                <w:color w:val="1F2328"/>
                <w:sz w:val="18"/>
              </w:rPr>
              <w:t>IAP-EV-001</w:t>
            </w:r>
          </w:p>
        </w:tc>
        <w:tc>
          <w:tcPr>
            <w:tcW w:type="dxa" w:w="4714"/>
          </w:tcPr>
          <w:p>
            <w:r/>
            <w:r>
              <w:rPr>
                <w:b w:val="0"/>
                <w:color w:val="1F2328"/>
                <w:sz w:val="18"/>
              </w:rPr>
              <w:t>Clause 4–5 workpapers for this programme (IAPC working checklist)</w:t>
            </w:r>
          </w:p>
        </w:tc>
        <w:tc>
          <w:tcPr>
            <w:tcW w:type="dxa" w:w="3646"/>
          </w:tcPr>
          <w:p>
            <w:r/>
            <w:r>
              <w:rPr>
                <w:b w:val="0"/>
                <w:color w:val="1F2328"/>
                <w:sz w:val="18"/>
              </w:rPr>
              <w:t>IAP-WP-CONTEXT-2026-Q3</w:t>
            </w:r>
          </w:p>
        </w:tc>
      </w:tr>
      <w:tr>
        <w:trPr>
          <w:cantSplit/>
        </w:trPr>
        <w:tc>
          <w:tcPr>
            <w:tcW w:type="dxa" w:w="1720"/>
          </w:tcPr>
          <w:p>
            <w:r/>
            <w:r>
              <w:rPr>
                <w:b w:val="0"/>
                <w:color w:val="1F2328"/>
                <w:sz w:val="18"/>
              </w:rPr>
              <w:t>IAP-EV-002</w:t>
            </w:r>
          </w:p>
        </w:tc>
        <w:tc>
          <w:tcPr>
            <w:tcW w:type="dxa" w:w="4714"/>
          </w:tcPr>
          <w:p>
            <w:r/>
            <w:r>
              <w:rPr>
                <w:b w:val="0"/>
                <w:color w:val="1F2328"/>
                <w:sz w:val="18"/>
              </w:rPr>
              <w:t>Risk-management sample pack (high risks, RTP, RAMT) (RR / RTP / RAMT exports)</w:t>
            </w:r>
          </w:p>
        </w:tc>
        <w:tc>
          <w:tcPr>
            <w:tcW w:type="dxa" w:w="3646"/>
          </w:tcPr>
          <w:p>
            <w:r/>
            <w:r>
              <w:rPr>
                <w:b w:val="0"/>
                <w:color w:val="1F2328"/>
                <w:sz w:val="18"/>
              </w:rPr>
              <w:t>IAP-WP-RISK-MANAGEMENT-2026-Q3</w:t>
            </w:r>
          </w:p>
        </w:tc>
      </w:tr>
      <w:tr>
        <w:trPr>
          <w:cantSplit/>
        </w:trPr>
        <w:tc>
          <w:tcPr>
            <w:tcW w:type="dxa" w:w="1720"/>
          </w:tcPr>
          <w:p>
            <w:r/>
            <w:r>
              <w:rPr>
                <w:b w:val="0"/>
                <w:color w:val="1F2328"/>
                <w:sz w:val="18"/>
              </w:rPr>
              <w:t>IAP-EV-003</w:t>
            </w:r>
          </w:p>
        </w:tc>
        <w:tc>
          <w:tcPr>
            <w:tcW w:type="dxa" w:w="4714"/>
          </w:tcPr>
          <w:p>
            <w:r/>
            <w:r>
              <w:rPr>
                <w:b w:val="0"/>
                <w:color w:val="1F2328"/>
                <w:sz w:val="18"/>
              </w:rPr>
              <w:t>Access-control sample pack (privileged access, JML) (UAI / ARR)</w:t>
            </w:r>
          </w:p>
        </w:tc>
        <w:tc>
          <w:tcPr>
            <w:tcW w:type="dxa" w:w="3646"/>
          </w:tcPr>
          <w:p>
            <w:r/>
            <w:r>
              <w:rPr>
                <w:b w:val="0"/>
                <w:color w:val="1F2328"/>
                <w:sz w:val="18"/>
              </w:rPr>
              <w:t>IAP-WP-ACCESS-CONTROL-2026-Q3</w:t>
            </w:r>
          </w:p>
        </w:tc>
      </w:tr>
      <w:tr>
        <w:trPr>
          <w:cantSplit/>
        </w:trPr>
        <w:tc>
          <w:tcPr>
            <w:tcW w:type="dxa" w:w="1720"/>
          </w:tcPr>
          <w:p>
            <w:r/>
            <w:r>
              <w:rPr>
                <w:b w:val="0"/>
                <w:color w:val="1F2328"/>
                <w:sz w:val="18"/>
              </w:rPr>
              <w:t>IAP-EV-004</w:t>
            </w:r>
          </w:p>
        </w:tc>
        <w:tc>
          <w:tcPr>
            <w:tcW w:type="dxa" w:w="4714"/>
          </w:tcPr>
          <w:p>
            <w:r/>
            <w:r>
              <w:rPr>
                <w:b w:val="0"/>
                <w:color w:val="1F2328"/>
                <w:sz w:val="18"/>
              </w:rPr>
              <w:t>Supplier-management sample pack (SINV / SSAQ)</w:t>
            </w:r>
          </w:p>
        </w:tc>
        <w:tc>
          <w:tcPr>
            <w:tcW w:type="dxa" w:w="3646"/>
          </w:tcPr>
          <w:p>
            <w:r/>
            <w:r>
              <w:rPr>
                <w:b w:val="0"/>
                <w:color w:val="1F2328"/>
                <w:sz w:val="18"/>
              </w:rPr>
              <w:t>IAP-WP-SUPPLIER-MANAGEMENT-2026-Q3</w:t>
            </w:r>
          </w:p>
        </w:tc>
      </w:tr>
      <w:tr>
        <w:trPr>
          <w:cantSplit/>
        </w:trPr>
        <w:tc>
          <w:tcPr>
            <w:tcW w:type="dxa" w:w="1720"/>
          </w:tcPr>
          <w:p>
            <w:r/>
            <w:r>
              <w:rPr>
                <w:b w:val="0"/>
                <w:color w:val="1F2328"/>
                <w:sz w:val="18"/>
              </w:rPr>
              <w:t>IAP-EV-005</w:t>
            </w:r>
          </w:p>
        </w:tc>
        <w:tc>
          <w:tcPr>
            <w:tcW w:type="dxa" w:w="4714"/>
          </w:tcPr>
          <w:p>
            <w:r/>
            <w:r>
              <w:rPr>
                <w:b w:val="0"/>
                <w:color w:val="1F2328"/>
                <w:sz w:val="18"/>
              </w:rPr>
              <w:t>Follow-up of open nonconformities (NC-RP pack)</w:t>
            </w:r>
          </w:p>
        </w:tc>
        <w:tc>
          <w:tcPr>
            <w:tcW w:type="dxa" w:w="3646"/>
          </w:tcPr>
          <w:p>
            <w:r/>
            <w:r>
              <w:rPr>
                <w:b w:val="0"/>
                <w:color w:val="1F2328"/>
                <w:sz w:val="18"/>
              </w:rPr>
              <w:t>IAP-WP-NC-2026-Q3</w:t>
            </w:r>
          </w:p>
        </w:tc>
      </w:tr>
    </w:tbl>
    <w:p>
      <w:pPr>
        <w:spacing w:before="0" w:after="120"/>
      </w:pPr>
    </w:p>
    <w:p>
      <w:pPr>
        <w:pStyle w:val="973"/>
        <w:outlineLvl w:val="0"/>
      </w:pPr>
      <w:bookmarkStart w:id="20" w:name="_TocRAM015"/>
      <w:bookmarkStart w:id="3" w:name="ref_independence_and_sampling_model"/>
      <w:r>
        <w:t>Independence and sampling model</w:t>
      </w:r>
      <w:bookmarkEnd w:id="3"/>
      <w:bookmarkEnd w:id="20"/>
    </w:p>
    <w:tbl>
      <w:tblPr>
        <w:tblStyle w:val="1033"/>
        <w:tblW w:type="dxa" w:w="10077"/>
        <w:jc w:val="left"/>
        <w:tblLayout w:type="fixed"/>
        <w:tblLook w:firstColumn="1" w:firstRow="1" w:lastColumn="0" w:lastRow="0" w:noHBand="0" w:noVBand="1" w:val="04A0"/>
      </w:tblPr>
      <w:tblGrid>
        <w:gridCol w:w="1389"/>
        <w:gridCol w:w="1621"/>
        <w:gridCol w:w="1854"/>
        <w:gridCol w:w="2203"/>
        <w:gridCol w:w="1854"/>
        <w:gridCol w:w="1156"/>
      </w:tblGrid>
      <w:tr>
        <w:trPr>
          <w:tblHeader/>
          <w:cantSplit/>
        </w:trPr>
        <w:tc>
          <w:tcPr>
            <w:tcW w:type="dxa" w:w="1389"/>
            <w:shd w:fill="F7F9FC"/>
          </w:tcPr>
          <w:p>
            <w:r/>
            <w:r>
              <w:rPr>
                <w:b/>
                <w:color w:val="1F6FEB"/>
                <w:sz w:val="18"/>
              </w:rPr>
              <w:t>Audit area</w:t>
            </w:r>
          </w:p>
        </w:tc>
        <w:tc>
          <w:tcPr>
            <w:tcW w:type="dxa" w:w="1621"/>
            <w:shd w:fill="F7F9FC"/>
          </w:tcPr>
          <w:p>
            <w:r/>
            <w:r>
              <w:rPr>
                <w:b/>
                <w:color w:val="1F6FEB"/>
                <w:sz w:val="18"/>
              </w:rPr>
              <w:t>Independence concern</w:t>
            </w:r>
          </w:p>
        </w:tc>
        <w:tc>
          <w:tcPr>
            <w:tcW w:type="dxa" w:w="1854"/>
            <w:shd w:fill="F7F9FC"/>
          </w:tcPr>
          <w:p>
            <w:r/>
            <w:r>
              <w:rPr>
                <w:b/>
                <w:color w:val="1F6FEB"/>
                <w:sz w:val="18"/>
              </w:rPr>
              <w:t>Compensating measure</w:t>
            </w:r>
          </w:p>
        </w:tc>
        <w:tc>
          <w:tcPr>
            <w:tcW w:type="dxa" w:w="2203"/>
            <w:shd w:fill="F7F9FC"/>
          </w:tcPr>
          <w:p>
            <w:r/>
            <w:r>
              <w:rPr>
                <w:b/>
                <w:color w:val="1F6FEB"/>
                <w:sz w:val="18"/>
              </w:rPr>
              <w:t>Sampling rule</w:t>
            </w:r>
          </w:p>
        </w:tc>
        <w:tc>
          <w:tcPr>
            <w:tcW w:type="dxa" w:w="1854"/>
            <w:shd w:fill="F7F9FC"/>
          </w:tcPr>
          <w:p>
            <w:r/>
            <w:r>
              <w:rPr>
                <w:b/>
                <w:color w:val="1F6FEB"/>
                <w:sz w:val="18"/>
              </w:rPr>
              <w:t>Evidence reference</w:t>
            </w:r>
          </w:p>
        </w:tc>
        <w:tc>
          <w:tcPr>
            <w:tcW w:type="dxa" w:w="1156"/>
            <w:shd w:fill="F7F9FC"/>
          </w:tcPr>
          <w:p>
            <w:r/>
            <w:r>
              <w:rPr>
                <w:b/>
                <w:color w:val="1F6FEB"/>
                <w:sz w:val="18"/>
              </w:rPr>
              <w:t>Evidence status</w:t>
            </w:r>
          </w:p>
        </w:tc>
      </w:tr>
      <w:tr>
        <w:trPr>
          <w:cantSplit/>
        </w:trPr>
        <w:tc>
          <w:tcPr>
            <w:tcW w:type="dxa" w:w="1389"/>
          </w:tcPr>
          <w:p>
            <w:r/>
            <w:r>
              <w:rPr>
                <w:b w:val="0"/>
                <w:color w:val="1F2328"/>
                <w:sz w:val="18"/>
              </w:rPr>
              <w:t>Access control</w:t>
            </w:r>
          </w:p>
        </w:tc>
        <w:tc>
          <w:tcPr>
            <w:tcW w:type="dxa" w:w="1621"/>
          </w:tcPr>
          <w:p>
            <w:r/>
            <w:r>
              <w:rPr>
                <w:b w:val="0"/>
                <w:color w:val="1F2328"/>
                <w:sz w:val="18"/>
              </w:rPr>
              <w:t>Security Lead helped design access review.</w:t>
            </w:r>
          </w:p>
        </w:tc>
        <w:tc>
          <w:tcPr>
            <w:tcW w:type="dxa" w:w="1854"/>
          </w:tcPr>
          <w:p>
            <w:r/>
            <w:r>
              <w:rPr>
                <w:b w:val="0"/>
                <w:color w:val="1F2328"/>
                <w:sz w:val="18"/>
              </w:rPr>
              <w:t>Internal Auditor makes audit judgment; Security Lead only explains technical context.</w:t>
            </w:r>
          </w:p>
        </w:tc>
        <w:tc>
          <w:tcPr>
            <w:tcW w:type="dxa" w:w="2203"/>
          </w:tcPr>
          <w:p>
            <w:r/>
            <w:r>
              <w:rPr>
                <w:b w:val="0"/>
                <w:color w:val="1F2328"/>
                <w:sz w:val="18"/>
              </w:rPr>
              <w:t>Sample privileged access, customer-data access and one mover case.</w:t>
            </w:r>
          </w:p>
        </w:tc>
        <w:tc>
          <w:tcPr>
            <w:tcW w:type="dxa" w:w="1854"/>
          </w:tcPr>
          <w:p>
            <w:r/>
            <w:r>
              <w:rPr>
                <w:b w:val="0"/>
                <w:color w:val="1F2328"/>
                <w:sz w:val="18"/>
              </w:rPr>
              <w:t>IAP-EV-2026-Q3</w:t>
            </w:r>
          </w:p>
        </w:tc>
        <w:tc>
          <w:tcPr>
            <w:tcW w:type="dxa" w:w="1156"/>
          </w:tcPr>
          <w:p>
            <w:r/>
            <w:r>
              <w:rPr>
                <w:b w:val="0"/>
                <w:color w:val="1F2328"/>
                <w:sz w:val="18"/>
              </w:rPr>
              <w:t>Complete</w:t>
            </w:r>
          </w:p>
        </w:tc>
      </w:tr>
      <w:tr>
        <w:trPr>
          <w:cantSplit/>
        </w:trPr>
        <w:tc>
          <w:tcPr>
            <w:tcW w:type="dxa" w:w="1389"/>
          </w:tcPr>
          <w:p>
            <w:r/>
            <w:r>
              <w:rPr>
                <w:b w:val="0"/>
                <w:color w:val="1F2328"/>
                <w:sz w:val="18"/>
              </w:rPr>
              <w:t>Risk management</w:t>
            </w:r>
          </w:p>
        </w:tc>
        <w:tc>
          <w:tcPr>
            <w:tcW w:type="dxa" w:w="1621"/>
          </w:tcPr>
          <w:p>
            <w:r/>
            <w:r>
              <w:rPr>
                <w:b w:val="0"/>
                <w:color w:val="1F2328"/>
                <w:sz w:val="18"/>
              </w:rPr>
              <w:t>Risk Manager owns the register.</w:t>
            </w:r>
          </w:p>
        </w:tc>
        <w:tc>
          <w:tcPr>
            <w:tcW w:type="dxa" w:w="1854"/>
          </w:tcPr>
          <w:p>
            <w:r/>
            <w:r>
              <w:rPr>
                <w:b w:val="0"/>
                <w:color w:val="1F2328"/>
                <w:sz w:val="18"/>
              </w:rPr>
              <w:t>Internal Auditor samples scoring rationale and treatment evidence independently.</w:t>
            </w:r>
          </w:p>
        </w:tc>
        <w:tc>
          <w:tcPr>
            <w:tcW w:type="dxa" w:w="2203"/>
          </w:tcPr>
          <w:p>
            <w:r/>
            <w:r>
              <w:rPr>
                <w:b w:val="0"/>
                <w:color w:val="1F2328"/>
                <w:sz w:val="18"/>
              </w:rPr>
              <w:t>Sample High risks, accepted residual risks and overdue actions.</w:t>
            </w:r>
          </w:p>
        </w:tc>
        <w:tc>
          <w:tcPr>
            <w:tcW w:type="dxa" w:w="1854"/>
          </w:tcPr>
          <w:p>
            <w:r/>
            <w:r>
              <w:rPr>
                <w:b w:val="0"/>
                <w:color w:val="1F2328"/>
                <w:sz w:val="18"/>
              </w:rPr>
              <w:t>IAP-EV-2026-Q3</w:t>
            </w:r>
          </w:p>
        </w:tc>
        <w:tc>
          <w:tcPr>
            <w:tcW w:type="dxa" w:w="1156"/>
          </w:tcPr>
          <w:p>
            <w:r/>
            <w:r>
              <w:rPr>
                <w:b w:val="0"/>
                <w:color w:val="1F2328"/>
                <w:sz w:val="18"/>
              </w:rPr>
              <w:t>Complete</w:t>
            </w:r>
          </w:p>
        </w:tc>
      </w:tr>
      <w:tr>
        <w:trPr>
          <w:cantSplit/>
        </w:trPr>
        <w:tc>
          <w:tcPr>
            <w:tcW w:type="dxa" w:w="1389"/>
          </w:tcPr>
          <w:p>
            <w:r/>
            <w:r>
              <w:rPr>
                <w:b w:val="0"/>
                <w:color w:val="1F2328"/>
                <w:sz w:val="18"/>
              </w:rPr>
              <w:t>Supplier management</w:t>
            </w:r>
          </w:p>
        </w:tc>
        <w:tc>
          <w:tcPr>
            <w:tcW w:type="dxa" w:w="1621"/>
          </w:tcPr>
          <w:p>
            <w:r/>
            <w:r>
              <w:rPr>
                <w:b w:val="0"/>
                <w:color w:val="1F2328"/>
                <w:sz w:val="18"/>
              </w:rPr>
              <w:t>Supplier Manager owns supplier records.</w:t>
            </w:r>
          </w:p>
        </w:tc>
        <w:tc>
          <w:tcPr>
            <w:tcW w:type="dxa" w:w="1854"/>
          </w:tcPr>
          <w:p>
            <w:r/>
            <w:r>
              <w:rPr>
                <w:b w:val="0"/>
                <w:color w:val="1F2328"/>
                <w:sz w:val="18"/>
              </w:rPr>
              <w:t>Auditor samples critical suppliers and checks evidence against policy.</w:t>
            </w:r>
          </w:p>
        </w:tc>
        <w:tc>
          <w:tcPr>
            <w:tcW w:type="dxa" w:w="2203"/>
          </w:tcPr>
          <w:p>
            <w:r/>
            <w:r>
              <w:rPr>
                <w:b w:val="0"/>
                <w:color w:val="1F2328"/>
                <w:sz w:val="18"/>
              </w:rPr>
              <w:t>Sample largest critical supplier and one low-spend security-critical supplier.</w:t>
            </w:r>
          </w:p>
        </w:tc>
        <w:tc>
          <w:tcPr>
            <w:tcW w:type="dxa" w:w="1854"/>
          </w:tcPr>
          <w:p>
            <w:r/>
            <w:r>
              <w:rPr>
                <w:b w:val="0"/>
                <w:color w:val="1F2328"/>
                <w:sz w:val="18"/>
              </w:rPr>
              <w:t>IAP-EV-2026-Q3</w:t>
            </w:r>
          </w:p>
        </w:tc>
        <w:tc>
          <w:tcPr>
            <w:tcW w:type="dxa" w:w="1156"/>
          </w:tcPr>
          <w:p>
            <w:r/>
            <w:r>
              <w:rPr>
                <w:b w:val="0"/>
                <w:color w:val="1F2328"/>
                <w:sz w:val="18"/>
              </w:rPr>
              <w:t>Complete</w:t>
            </w:r>
          </w:p>
        </w:tc>
      </w:tr>
    </w:tbl>
    <w:p>
      <w:pPr>
        <w:spacing w:before="0" w:after="120"/>
      </w:pPr>
    </w:p>
    <w:p>
      <w:pPr>
        <w:pStyle w:val="973"/>
        <w:outlineLvl w:val="0"/>
      </w:pPr>
      <w:bookmarkStart w:id="21" w:name="_TocRAM016"/>
      <w:bookmarkStart w:id="4" w:name="ref_evidence_and_records"/>
      <w:r>
        <w:t>Evidence and records</w:t>
      </w:r>
      <w:bookmarkEnd w:id="4"/>
      <w:bookmarkEnd w:id="21"/>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1"/>
        </w:numPr>
      </w:pPr>
      <w:hyperlink r:id="rId16" w:history="1">
        <w:r>
          <w:rPr>
            <w:color w:val="0563C1"/>
            <w:u w:val="single"/>
          </w:rPr>
          <w:t xml:space="preserve">Auditor Evidence Request Log</w:t>
        </w:r>
      </w:hyperlink>
      <w:r>
        <w:rPr>
          <w:b w:val="0"/>
        </w:rPr>
        <w:t xml:space="preserve"> — Certification-audit evidence requests: what was asked, when, who delivered it, and the trace to the pack.</w:t>
      </w:r>
    </w:p>
    <w:p>
      <w:pPr>
        <w:pStyle w:val="1006"/>
        <w:ind w:left="360" w:hanging="259"/>
        <w:numPr>
          <w:ilvl w:val="0"/>
          <w:numId w:val="11"/>
        </w:numPr>
      </w:pPr>
      <w:hyperlink r:id="rId17" w:history="1">
        <w:r>
          <w:rPr>
            <w:color w:val="0563C1"/>
            <w:u w:val="single"/>
          </w:rPr>
          <w:t xml:space="preserve">Internal Audit Program &amp; Checklist</w:t>
        </w:r>
      </w:hyperlink>
      <w:r>
        <w:rPr>
          <w:b w:val="0"/>
        </w:rPr>
        <w:t xml:space="preserve"> — The internal-audit programme and the checklist records for each audit.</w:t>
      </w:r>
    </w:p>
    <w:p>
      <w:pPr>
        <w:pStyle w:val="1006"/>
        <w:ind w:left="360" w:hanging="259"/>
        <w:numPr>
          <w:ilvl w:val="0"/>
          <w:numId w:val="11"/>
        </w:numPr>
      </w:pPr>
      <w:hyperlink r:id="rId18"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973"/>
        <w:outlineLvl w:val="0"/>
      </w:pPr>
      <w:bookmarkStart w:id="22" w:name="_TocRAM017"/>
      <w:bookmarkStart w:id="5" w:name="ref_external_references"/>
      <w:r>
        <w:t>References</w:t>
      </w:r>
      <w:bookmarkEnd w:id="5"/>
      <w:bookmarkEnd w:id="22"/>
    </w:p>
    <w:p>
      <w:pPr>
        <w:pStyle w:val="974"/>
        <w:outlineLvl w:val="1"/>
      </w:pPr>
      <w:bookmarkStart w:id="23" w:name="_TocRAM018"/>
      <w:r>
        <w:t>Linked documents</w:t>
      </w:r>
      <w:bookmarkEnd w:id="23"/>
    </w:p>
    <w:p>
      <w:r>
        <w:rPr>
          <w:b w:val="0"/>
        </w:rPr>
        <w:t>These companion files sit next to this document in the unpacked package. This file cites them by their approved version. It does not copy their content.</w:t>
      </w:r>
    </w:p>
    <w:p>
      <w:pPr>
        <w:pStyle w:val="1006"/>
        <w:ind w:left="360" w:hanging="259"/>
        <w:numPr>
          <w:ilvl w:val="0"/>
          <w:numId w:val="12"/>
        </w:numPr>
      </w:pPr>
      <w:hyperlink r:id="rId16" w:history="1">
        <w:r>
          <w:rPr>
            <w:color w:val="0563C1"/>
            <w:u w:val="single"/>
          </w:rPr>
          <w:t xml:space="preserve">AUD-ER Auditor Evidence Request Log</w:t>
        </w:r>
      </w:hyperlink>
      <w:r>
        <w:rPr>
          <w:b w:val="0"/>
        </w:rPr>
        <w:t xml:space="preserve"> — Certification-audit evidence requests: what was asked, when, who delivered it, and the trace to the pack.</w:t>
      </w:r>
    </w:p>
    <w:p>
      <w:pPr>
        <w:pStyle w:val="1006"/>
        <w:ind w:left="360" w:hanging="259"/>
        <w:numPr>
          <w:ilvl w:val="0"/>
          <w:numId w:val="12"/>
        </w:numPr>
      </w:pPr>
      <w:hyperlink r:id="rId18"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19" w:history="1">
        <w:r>
          <w:rPr>
            <w:color w:val="0563C1"/>
            <w:u w:val="single"/>
          </w:rPr>
          <w:t xml:space="preserve">CAR Corrective Actions Register (Building the ISMS, Context of the Organization (Clause 4))</w:t>
        </w:r>
      </w:hyperlink>
      <w:r>
        <w:rPr>
          <w:b w:val="0"/>
        </w:rPr>
        <w:t xml:space="preserve"> — Interface record. Cite this Document Control version; do not copy this file into that record.</w:t>
      </w:r>
    </w:p>
    <w:p>
      <w:pPr>
        <w:pStyle w:val="1006"/>
        <w:ind w:left="360" w:hanging="259"/>
        <w:numPr>
          <w:ilvl w:val="0"/>
          <w:numId w:val="12"/>
        </w:numPr>
      </w:pPr>
      <w:hyperlink r:id="rId20" w:history="1">
        <w:r>
          <w:rPr>
            <w:color w:val="0563C1"/>
            <w:u w:val="single"/>
          </w:rPr>
          <w:t xml:space="preserve">ISO Information Security Objectives (Building the ISMS, Information Security Policies &amp; Risk Management)</w:t>
        </w:r>
      </w:hyperlink>
      <w:r>
        <w:rPr>
          <w:b w:val="0"/>
        </w:rPr>
        <w:t xml:space="preserve"> — Interface record. Cite this Document Control version; do not copy this file into that record.</w:t>
      </w:r>
    </w:p>
    <w:p>
      <w:pPr>
        <w:pStyle w:val="1006"/>
        <w:ind w:left="360" w:hanging="259"/>
        <w:numPr>
          <w:ilvl w:val="0"/>
          <w:numId w:val="12"/>
        </w:numPr>
      </w:pPr>
      <w:hyperlink r:id="rId21" w:history="1">
        <w:r>
          <w:rPr>
            <w:color w:val="0563C1"/>
            <w:u w:val="single"/>
          </w:rPr>
          <w:t xml:space="preserve">MRART Management Review Agenda &amp; Report Template (Implementation &amp; Certification, Internal Audit &amp; Management Review)</w:t>
        </w:r>
      </w:hyperlink>
      <w:r>
        <w:rPr>
          <w:b w:val="0"/>
        </w:rPr>
        <w:t xml:space="preserve"> — Interface record. Cite this Document Control version; do not copy this file into that record.</w:t>
      </w:r>
    </w:p>
    <w:p>
      <w:pPr>
        <w:pStyle w:val="1006"/>
        <w:ind w:left="360" w:hanging="259"/>
        <w:numPr>
          <w:ilvl w:val="0"/>
          <w:numId w:val="12"/>
        </w:numPr>
      </w:pPr>
      <w:hyperlink r:id="rId22" w:history="1">
        <w:r>
          <w:rPr>
            <w:color w:val="0563C1"/>
            <w:u w:val="single"/>
          </w:rPr>
          <w:t xml:space="preserve">RR Risk Register (Building the ISMS, Planning, Risk &amp; Objectives (Clause 6))</w:t>
        </w:r>
      </w:hyperlink>
      <w:r>
        <w:rPr>
          <w:b w:val="0"/>
        </w:rPr>
        <w:t xml:space="preserve"> — Interface record. Cite this Document Control version; do not copy this file into that record.</w:t>
      </w:r>
    </w:p>
    <w:p>
      <w:pPr>
        <w:pStyle w:val="1006"/>
        <w:ind w:left="360" w:hanging="259"/>
        <w:numPr>
          <w:ilvl w:val="0"/>
          <w:numId w:val="12"/>
        </w:numPr>
      </w:pPr>
      <w:hyperlink r:id="rId23" w:history="1">
        <w:r>
          <w:rPr>
            <w:color w:val="0563C1"/>
            <w:u w:val="single"/>
          </w:rPr>
          <w:t xml:space="preserve">MRMT Management Review Minutes Template</w:t>
        </w:r>
      </w:hyperlink>
      <w:r>
        <w:rPr>
          <w:b w:val="0"/>
        </w:rPr>
        <w:t xml:space="preserve"> — Recurring minutes or records this file requires. Cite the approved version; do not keep a second schema here.</w:t>
      </w:r>
    </w:p>
    <w:p>
      <w:pPr>
        <w:pStyle w:val="974"/>
        <w:outlineLvl w:val="1"/>
      </w:pPr>
      <w:bookmarkStart w:id="24" w:name="_TocRAM019"/>
      <w:r>
        <w:t>Linked templates</w:t>
      </w:r>
      <w:bookmarkEnd w:id="24"/>
    </w:p>
    <w:p>
      <w:r>
        <w:rPr>
          <w:b w:val="0"/>
        </w:rPr>
        <w:t>Recurring records use these companion templates. Do not keep a second schema in this file.</w:t>
      </w:r>
    </w:p>
    <w:p>
      <w:pPr>
        <w:pStyle w:val="1006"/>
        <w:ind w:left="360" w:hanging="259"/>
        <w:numPr>
          <w:ilvl w:val="0"/>
          <w:numId w:val="13"/>
        </w:numPr>
      </w:pPr>
      <w:hyperlink r:id="rId17" w:history="1">
        <w:r>
          <w:rPr>
            <w:color w:val="0563C1"/>
            <w:u w:val="single"/>
          </w:rPr>
          <w:t xml:space="preserve">IAPC (Internal Audit Programme Checklist) Internal Audit Program &amp; Checklist</w:t>
        </w:r>
      </w:hyperlink>
      <w:r>
        <w:rPr>
          <w:b w:val="0"/>
        </w:rPr>
        <w:t xml:space="preserve"> — Recurring audit-programme records this file requires. Use this companion template; do not keep a second checklist schema here.</w:t>
      </w:r>
    </w:p>
    <w:p>
      <w:pPr>
        <w:pStyle w:val="974"/>
        <w:outlineLvl w:val="1"/>
      </w:pPr>
      <w:bookmarkStart w:id="25" w:name="_TocRAM020"/>
      <w:r>
        <w:t>External references</w:t>
      </w:r>
      <w:bookmarkEnd w:id="25"/>
    </w:p>
    <w:p>
      <w:r>
        <w:rPr>
          <w:b w:val="0"/>
        </w:rPr>
        <w:t>Cite these ISO clauses and book chapters from workshops and audits.</w:t>
      </w:r>
    </w:p>
    <w:p>
      <w:pPr>
        <w:pStyle w:val="1006"/>
        <w:ind w:left="360" w:hanging="259"/>
        <w:numPr>
          <w:ilvl w:val="0"/>
          <w:numId w:val="14"/>
        </w:numPr>
      </w:pPr>
      <w:hyperlink r:id="rId24"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5" w:history="1">
        <w:r>
          <w:rPr>
            <w:color w:val="0563C1"/>
            <w:u w:val="single"/>
          </w:rPr>
          <w:t xml:space="preserve">Implementation &amp; Certification, Internal Audit &amp; Management Review</w:t>
        </w:r>
      </w:hyperlink>
      <w:r>
        <w:rPr>
          <w:b w:val="0"/>
        </w:rPr>
        <w:t xml:space="preserve"> — Primary operating chapter for this companion artifact.</w:t>
      </w:r>
    </w:p>
    <w:p>
      <w:pPr>
        <w:pStyle w:val="1006"/>
        <w:ind w:left="360" w:hanging="259"/>
        <w:numPr>
          <w:ilvl w:val="0"/>
          <w:numId w:val="14"/>
        </w:numPr>
      </w:pPr>
      <w:hyperlink r:id="rId25" w:history="1">
        <w:r>
          <w:rPr>
            <w:color w:val="0563C1"/>
            <w:u w:val="single"/>
          </w:rPr>
          <w:t xml:space="preserve">Implementation &amp; Certification, Internal Audit &amp; Management Review</w:t>
        </w:r>
      </w:hyperlink>
      <w:r>
        <w:rPr>
          <w:b w:val="0"/>
        </w:rPr>
        <w:t xml:space="preserve"> — Internal audit programme, independence and management review.</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Internal Audit Plan (IAP)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UD-ER_Auditor_Evidence_Request_Log.xlsx" TargetMode="External"/><Relationship Id="rId17" Type="http://schemas.openxmlformats.org/officeDocument/2006/relationships/hyperlink" Target="IAPC_Internal_Audit_Program_and_Checklist.docx" TargetMode="External"/><Relationship Id="rId18" Type="http://schemas.openxmlformats.org/officeDocument/2006/relationships/hyperlink" Target="MDR_Mandatory_Documents_and_Records_Register.xlsx" TargetMode="External"/><Relationship Id="rId19" Type="http://schemas.openxmlformats.org/officeDocument/2006/relationships/hyperlink" Target="CAR_Corrective_Actions_Register.xlsx" TargetMode="External"/><Relationship Id="rId20" Type="http://schemas.openxmlformats.org/officeDocument/2006/relationships/hyperlink" Target="ISO_Information_Security_Objectives_Register.xlsx" TargetMode="External"/><Relationship Id="rId21" Type="http://schemas.openxmlformats.org/officeDocument/2006/relationships/hyperlink" Target="MRART_Management_Review_Agenda_and_Report_Template_Plan.docx" TargetMode="External"/><Relationship Id="rId22" Type="http://schemas.openxmlformats.org/officeDocument/2006/relationships/hyperlink" Target="RR_Risk_Register.xlsx" TargetMode="External"/><Relationship Id="rId23" Type="http://schemas.openxmlformats.org/officeDocument/2006/relationships/hyperlink" Target="MRMT_Management_Review_Minutes_Template.docx" TargetMode="External"/><Relationship Id="rId24" Type="http://schemas.openxmlformats.org/officeDocument/2006/relationships/hyperlink" Target="https://www.iso.org/standard/82875.html" TargetMode="External"/><Relationship Id="rId25" Type="http://schemas.openxmlformats.org/officeDocument/2006/relationships/hyperlink" Target="https://www.amazon.com/s?k=ISO+27001+for+Software+Companies+Implementation+and+Certif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Audit Plan</dc:title>
  <dc:subject>Official ExportableProof Companion Artifact IAP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Plan</cp:category>
</cp:coreProperties>
</file>